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rlfinzoroj</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 Name:</w:t>
      </w:r>
      <w:r>
        <w:t xml:space="preserve"> </w:t>
      </w:r>
      <w:r>
        <w:t xml:space="preserve">rlfinzoroj</w:t>
      </w:r>
    </w:p>
    <w:p>
      <w:pPr>
        <w:pStyle w:val="BodyText"/>
      </w:pPr>
      <w:r>
        <w:rPr>
          <w:bCs/>
          <w:b/>
        </w:rPr>
        <w:t xml:space="preserve">Company Name:</w:t>
      </w:r>
      <w:r>
        <w:t xml:space="preserve"> </w:t>
      </w:r>
      <w:r>
        <w:t xml:space="preserve">uzxhoyylpr</w:t>
      </w:r>
    </w:p>
    <w:p>
      <w:pPr>
        <w:pStyle w:val="BodyText"/>
      </w:pPr>
      <w:r>
        <w:rPr>
          <w:bCs/>
          <w:b/>
        </w:rPr>
        <w:t xml:space="preserve">Senior Sustainability Consultant:</w:t>
      </w:r>
      <w:r>
        <w:t xml:space="preserve"> </w:t>
      </w:r>
      <w:r>
        <w:t xml:space="preserve">onyhjqnsem</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It provides an assessment of the product carbon footprint for informational and strategic planning purposes.</w:t>
      </w:r>
    </w:p>
    <w:bookmarkEnd w:id="20"/>
    <w:bookmarkStart w:id="21" w:name="product-carbon-footprint-analysis"/>
    <w:p>
      <w:pPr>
        <w:pStyle w:val="Heading1"/>
      </w:pPr>
      <w:r>
        <w:t xml:space="preserve">Product Carbon Footprint Analysis</w:t>
      </w:r>
    </w:p>
    <w:p>
      <w:pPr>
        <w:pStyle w:val="FirstParagraph"/>
      </w:pPr>
      <w:r>
        <w:t xml:space="preserve">Generated Date: May 20, 2026</w:t>
      </w:r>
    </w:p>
    <w:bookmarkEnd w:id="21"/>
    <w:bookmarkStart w:id="22" w:name="executive-summary"/>
    <w:p>
      <w:pPr>
        <w:pStyle w:val="Heading2"/>
      </w:pPr>
      <w:r>
        <w:t xml:space="preserve">Executive Summary</w:t>
      </w:r>
    </w:p>
    <w:p>
      <w:pPr>
        <w:pStyle w:val="FirstParagraph"/>
      </w:pPr>
      <w:r>
        <w:t xml:space="preserve">This report details the Product Carbon Footprint (PCF) analysis for</w:t>
      </w:r>
      <w:r>
        <w:t xml:space="preserve"> </w:t>
      </w:r>
      <w:r>
        <w:rPr>
          <w:bCs/>
          <w:b/>
        </w:rPr>
        <w:t xml:space="preserve">rlfinzoroj</w:t>
      </w:r>
      <w:r>
        <w:t xml:space="preserve">, manufactured by</w:t>
      </w:r>
      <w:r>
        <w:t xml:space="preserve"> </w:t>
      </w:r>
      <w:r>
        <w:rPr>
          <w:bCs/>
          <w:b/>
        </w:rPr>
        <w:t xml:space="preserve">uzxhoyylpr</w:t>
      </w:r>
      <w:r>
        <w:t xml:space="preserve">. Conducted by Senior Sustainability Consultant</w:t>
      </w:r>
      <w:r>
        <w:t xml:space="preserve"> </w:t>
      </w:r>
      <w:r>
        <w:rPr>
          <w:bCs/>
          <w:b/>
        </w:rPr>
        <w:t xml:space="preserve">onyhjqnsem</w:t>
      </w:r>
      <w:r>
        <w:t xml:space="preserve">, this analysis adheres strictly to the GHG Protocol, including the 2026 Land Sector and Removals (LSR) Standard update, and aims for at least 95% coverage for Scope 3 emissions. The functional unit for this assessment is 1.0 unit of rlfinzoroj, with a system boundary defined at the factory gate and a geographic scope focused on China for final production and Europe for supply chain. The methodology covers defining scope, mapping the lifecycle, collecting data, calculating emissions, and reviewing results to identify hotspots and inform emission reduction strategies.</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The initial phase of the PCF analysis establishes the boundaries and parameters for accurate measurement.</w:t>
      </w:r>
    </w:p>
    <w:p>
      <w:pPr>
        <w:numPr>
          <w:ilvl w:val="0"/>
          <w:numId w:val="1001"/>
        </w:numPr>
        <w:pStyle w:val="Compact"/>
      </w:pPr>
      <w:r>
        <w:rPr>
          <w:bCs/>
          <w:b/>
        </w:rPr>
        <w:t xml:space="preserve">Functional Unit:</w:t>
      </w:r>
      <w:r>
        <w:t xml:space="preserve"> </w:t>
      </w:r>
      <w:r>
        <w:t xml:space="preserve">1.0 unit of rlfinzoroj. This represents the quantified performance of the product for which the environmental impact is assessed.</w:t>
      </w:r>
    </w:p>
    <w:p>
      <w:pPr>
        <w:numPr>
          <w:ilvl w:val="0"/>
          <w:numId w:val="1001"/>
        </w:numPr>
        <w:pStyle w:val="Compact"/>
      </w:pPr>
      <w:r>
        <w:rPr>
          <w:bCs/>
          <w:b/>
        </w:rPr>
        <w:t xml:space="preserve">System Boundary:</w:t>
      </w:r>
      <w:r>
        <w:t xml:space="preserve"> </w:t>
      </w:r>
      <w:r>
        <w:t xml:space="preserve">factory_gate. This boundary encompasses all emissions from raw material extraction, processing, component manufacturing, and final assembly up to the point the finished product leaves the factory gate. While the primary calculation is up to factory gate, the full lifecycle analysis includes downstream impacts (transport, use, end-of-life) as per the GHG Protocol Product Standard requirements for a comprehensive PCF.</w:t>
      </w:r>
    </w:p>
    <w:p>
      <w:pPr>
        <w:numPr>
          <w:ilvl w:val="0"/>
          <w:numId w:val="1001"/>
        </w:numPr>
        <w:pStyle w:val="Compact"/>
      </w:pPr>
      <w:r>
        <w:rPr>
          <w:bCs/>
          <w:b/>
        </w:rPr>
        <w:t xml:space="preserve">Geographic Scope:</w:t>
      </w:r>
      <w:r>
        <w:t xml:space="preserve"> </w:t>
      </w:r>
      <w:r>
        <w:t xml:space="preserve">The final production country is China, with a specific focus on the supply chain originating from and traversing through Europe. This dual focus allows for consideration of region-specific emission factors and logistical considerations.</w:t>
      </w:r>
    </w:p>
    <w:p>
      <w:pPr>
        <w:numPr>
          <w:ilvl w:val="0"/>
          <w:numId w:val="1001"/>
        </w:numPr>
        <w:pStyle w:val="Compact"/>
      </w:pPr>
      <w:r>
        <w:rPr>
          <w:bCs/>
          <w:b/>
        </w:rPr>
        <w:t xml:space="preserve">Accounting Standard:</w:t>
      </w:r>
      <w:r>
        <w:t xml:space="preserve"> </w:t>
      </w:r>
      <w:r>
        <w:t xml:space="preserve">GHG Protocol. This analysis strictly adheres to the GHG Protocol Product Life Cycle Accounting and Reporting Standard, ensuring a robust, consistent, and transparent assessment of greenhouse gas emissions. The 2026 Land Sector and Removals (LSR) Standard update has been integrated to account for land use change and carbon removal activities where applicable.</w:t>
      </w:r>
    </w:p>
    <w:p>
      <w:pPr>
        <w:numPr>
          <w:ilvl w:val="0"/>
          <w:numId w:val="1001"/>
        </w:numPr>
        <w:pStyle w:val="Compact"/>
      </w:pPr>
      <w:r>
        <w:rPr>
          <w:bCs/>
          <w:b/>
        </w:rPr>
        <w:t xml:space="preserve">Allocation:</w:t>
      </w:r>
      <w:r>
        <w:t xml:space="preserve"> </w:t>
      </w:r>
      <w:r>
        <w:t xml:space="preserve">Where co-production or recycling processes occur, appropriate allocation methods (e.g., mass-based, economic, or physical) are applied as per GHG Protocol guidelines to attribute environmental impacts accurately.</w:t>
      </w:r>
    </w:p>
    <w:p>
      <w:r>
        <w:pict>
          <v:rect style="width:0;height:1.5pt" o:hralign="center" o:hrstd="t" o:hr="t"/>
        </w:pict>
      </w:r>
    </w:p>
    <w:bookmarkEnd w:id="23"/>
    <w:bookmarkStart w:id="29" w:name="map-lifecycle-3.-collect-data"/>
    <w:p>
      <w:pPr>
        <w:pStyle w:val="Heading2"/>
      </w:pPr>
      <w:r>
        <w:t xml:space="preserve">2. Map Lifecycle &amp; 3. Collect Data</w:t>
      </w:r>
    </w:p>
    <w:p>
      <w:pPr>
        <w:pStyle w:val="FirstParagraph"/>
      </w:pPr>
      <w:r>
        <w:t xml:space="preserve">This section details the lifecycle stages of rlfinzoroj and outlines the primary and secondary data points collected for the inventory. Emissions are categorized into Scope 1 (direct emissions), Scope 2 (indirect emissions from purchased energy), and Scope 3 (all other indirect emissions in the value chain).</w:t>
      </w:r>
    </w:p>
    <w:bookmarkStart w:id="24" w:name="X64dc587e452015f9e0911657ac06eb0a67d6b45"/>
    <w:p>
      <w:pPr>
        <w:pStyle w:val="Heading3"/>
      </w:pPr>
      <w:r>
        <w:t xml:space="preserve">Detailed Bill of Materials (BOM) Analysis (Scope 3 - Upstream)</w:t>
      </w:r>
    </w:p>
    <w:p>
      <w:pPr>
        <w:pStyle w:val="FirstParagraph"/>
      </w:pPr>
      <w:r>
        <w:t xml:space="preserve">The following table presents the detailed Bill of Materials (BOM) for rlfinzoroj, with estimated emission factors and total carbon impact for each component based on the provided data (wvvjzzho) and industry standards.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Primary Production, 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7.50</w:t>
            </w:r>
          </w:p>
        </w:tc>
        <w:tc>
          <w:tcPr/>
          <w:p>
            <w:pPr>
              <w:pStyle w:val="Compact"/>
              <w:jc w:val="left"/>
            </w:pPr>
            <w:r>
              <w:t xml:space="preserve">3.75</w:t>
            </w:r>
          </w:p>
        </w:tc>
      </w:tr>
      <w:tr>
        <w:tc>
          <w:tcPr/>
          <w:p>
            <w:pPr>
              <w:pStyle w:val="Compact"/>
              <w:jc w:val="left"/>
            </w:pPr>
            <w:r>
              <w:t xml:space="preserve">M-002</w:t>
            </w:r>
          </w:p>
        </w:tc>
        <w:tc>
          <w:tcPr/>
          <w:p>
            <w:pPr>
              <w:pStyle w:val="Compact"/>
              <w:jc w:val="left"/>
            </w:pPr>
            <w:r>
              <w:t xml:space="preserve">Polycarbonate Housing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3.00</w:t>
            </w:r>
          </w:p>
        </w:tc>
        <w:tc>
          <w:tcPr/>
          <w:p>
            <w:pPr>
              <w:pStyle w:val="Compact"/>
              <w:jc w:val="left"/>
            </w:pPr>
            <w:r>
              <w:t xml:space="preserve">0.60</w:t>
            </w:r>
          </w:p>
        </w:tc>
      </w:tr>
      <w:tr>
        <w:tc>
          <w:tcPr/>
          <w:p>
            <w:pPr>
              <w:pStyle w:val="Compact"/>
              <w:jc w:val="left"/>
            </w:pPr>
            <w:r>
              <w:t xml:space="preserve">M-003</w:t>
            </w:r>
          </w:p>
        </w:tc>
        <w:tc>
          <w:tcPr/>
          <w:p>
            <w:pPr>
              <w:pStyle w:val="Compact"/>
              <w:jc w:val="left"/>
            </w:pPr>
            <w:r>
              <w:t xml:space="preserve">Silicon Microchip</w:t>
            </w:r>
          </w:p>
        </w:tc>
        <w:tc>
          <w:tcPr/>
          <w:p>
            <w:pPr>
              <w:pStyle w:val="Compact"/>
              <w:jc w:val="left"/>
            </w:pPr>
            <w:r>
              <w:t xml:space="preserve">Electronics</w:t>
            </w:r>
          </w:p>
        </w:tc>
        <w:tc>
          <w:tcPr/>
          <w:p>
            <w:pPr>
              <w:pStyle w:val="Compact"/>
              <w:jc w:val="left"/>
            </w:pPr>
            <w:r>
              <w:t xml:space="preserve">Semiconductor Mfg.</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500.00</w:t>
            </w:r>
          </w:p>
        </w:tc>
        <w:tc>
          <w:tcPr/>
          <w:p>
            <w:pPr>
              <w:pStyle w:val="Compact"/>
              <w:jc w:val="left"/>
            </w:pPr>
            <w:r>
              <w:t xml:space="preserve">5.00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0.13</w:t>
            </w:r>
          </w:p>
        </w:tc>
      </w:tr>
      <w:tr>
        <w:tc>
          <w:tcPr/>
          <w:p>
            <w:pPr>
              <w:pStyle w:val="Compact"/>
              <w:jc w:val="left"/>
            </w:pPr>
            <w:r>
              <w:t xml:space="preserve">M-005</w:t>
            </w:r>
          </w:p>
        </w:tc>
        <w:tc>
          <w:tcPr/>
          <w:p>
            <w:pPr>
              <w:pStyle w:val="Compact"/>
              <w:jc w:val="left"/>
            </w:pPr>
            <w:r>
              <w:t xml:space="preserve">Lithium-ion Battery</w:t>
            </w:r>
          </w:p>
        </w:tc>
        <w:tc>
          <w:tcPr/>
          <w:p>
            <w:pPr>
              <w:pStyle w:val="Compact"/>
              <w:jc w:val="left"/>
            </w:pPr>
            <w:r>
              <w:t xml:space="preserve">Chemicals/Energy</w:t>
            </w:r>
          </w:p>
        </w:tc>
        <w:tc>
          <w:tcPr/>
          <w:p>
            <w:pPr>
              <w:pStyle w:val="Compact"/>
              <w:jc w:val="left"/>
            </w:pPr>
            <w:r>
              <w:t xml:space="preserve">Battery Cell Mfg.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15.00</w:t>
            </w:r>
          </w:p>
        </w:tc>
        <w:tc>
          <w:tcPr/>
          <w:p>
            <w:pPr>
              <w:pStyle w:val="Compact"/>
              <w:jc w:val="left"/>
            </w:pPr>
            <w:r>
              <w:t xml:space="preserve">2.25</w:t>
            </w:r>
          </w:p>
        </w:tc>
      </w:tr>
      <w:tr>
        <w:tc>
          <w:tcPr/>
          <w:p>
            <w:pPr>
              <w:pStyle w:val="Compact"/>
              <w:jc w:val="left"/>
            </w:pPr>
            <w:r>
              <w:t xml:space="preserve">M-006</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Recycled Pulp Mfg.</w:t>
            </w:r>
          </w:p>
        </w:tc>
        <w:tc>
          <w:tcPr/>
          <w:p>
            <w:pPr>
              <w:pStyle w:val="Compact"/>
              <w:jc w:val="left"/>
            </w:pPr>
            <w:r>
              <w:t xml:space="preserve">0.1</w:t>
            </w:r>
          </w:p>
        </w:tc>
        <w:tc>
          <w:tcPr/>
          <w:p>
            <w:pPr>
              <w:pStyle w:val="Compact"/>
              <w:jc w:val="left"/>
            </w:pPr>
            <w:r>
              <w:t xml:space="preserve">kg</w:t>
            </w:r>
          </w:p>
        </w:tc>
        <w:tc>
          <w:tcPr/>
          <w:p>
            <w:pPr>
              <w:pStyle w:val="Compact"/>
              <w:jc w:val="left"/>
            </w:pPr>
            <w:r>
              <w:t xml:space="preserve">0.50</w:t>
            </w:r>
          </w:p>
        </w:tc>
        <w:tc>
          <w:tcPr/>
          <w:p>
            <w:pPr>
              <w:pStyle w:val="Compact"/>
              <w:jc w:val="left"/>
            </w:pPr>
            <w:r>
              <w:t xml:space="preserve">0.05</w:t>
            </w:r>
          </w:p>
        </w:tc>
      </w:tr>
    </w:tbl>
    <w:p>
      <w:pPr>
        <w:pStyle w:val="BodyText"/>
      </w:pPr>
      <w:r>
        <w:rPr>
          <w:iCs/>
          <w:i/>
        </w:rPr>
        <w:t xml:space="preserve">Note: The "Total Carbon" values presented here are illustrative and derived from the provided \'Emission Factor\' column within \'wvvjzzho\' for each item. The sum of these values contributes significantly to the upstream Scope 3 emissions.</w:t>
      </w:r>
    </w:p>
    <w:bookmarkEnd w:id="24"/>
    <w:bookmarkStart w:id="25" w:name="production-phase-scope-1-2"/>
    <w:p>
      <w:pPr>
        <w:pStyle w:val="Heading3"/>
      </w:pPr>
      <w:r>
        <w:t xml:space="preserve">Production Phase (Scope 1 &amp; 2)</w:t>
      </w:r>
    </w:p>
    <w:p>
      <w:pPr>
        <w:numPr>
          <w:ilvl w:val="0"/>
          <w:numId w:val="1002"/>
        </w:numPr>
        <w:pStyle w:val="Compact"/>
      </w:pPr>
      <w:r>
        <w:rPr>
          <w:bCs/>
          <w:b/>
        </w:rPr>
        <w:t xml:space="preserve">Energy Intensity (kWh/unit):</w:t>
      </w:r>
      <w:r>
        <w:t xml:space="preserve"> </w:t>
      </w:r>
      <w:r>
        <w:t xml:space="preserve">uflthoslrm (e.g., 5 kWh/unit). This represents the total electrical energy consumed during the manufacturing and assembly of one unit of rlfinzoroj.</w:t>
      </w:r>
    </w:p>
    <w:p>
      <w:pPr>
        <w:numPr>
          <w:ilvl w:val="0"/>
          <w:numId w:val="1002"/>
        </w:numPr>
        <w:pStyle w:val="Compact"/>
      </w:pPr>
      <w:r>
        <w:rPr>
          <w:bCs/>
          <w:b/>
        </w:rPr>
        <w:t xml:space="preserve">Renewable Energy Usage:</w:t>
      </w:r>
      <w:r>
        <w:t xml:space="preserve"> </w:t>
      </w:r>
      <w:r>
        <w:t xml:space="preserve">pfhshpnzjf (e.g., 60%). This percentage of electricity consumed in the production facility is sourced from renewable energy, directly impacting Scope 2 emissions. The remaining portion is assumed to be grid electricity.</w:t>
      </w:r>
    </w:p>
    <w:p>
      <w:pPr>
        <w:numPr>
          <w:ilvl w:val="0"/>
          <w:numId w:val="1002"/>
        </w:numPr>
        <w:pStyle w:val="Compact"/>
      </w:pPr>
      <w:r>
        <w:rPr>
          <w:bCs/>
          <w:b/>
        </w:rPr>
        <w:t xml:space="preserve">Direct Emissions (Scope 1):</w:t>
      </w:r>
      <w:r>
        <w:t xml:space="preserve"> </w:t>
      </w:r>
      <w:r>
        <w:t xml:space="preserve">Any on-site combustion of fuels (e.g., natural gas for heating, fuel for company-owned vehicles within the factory premises) not captured by electricity consumption. For this report, specific data for Scope 1 is not provided, so it is assumed to be negligible or covered by general energy intensity in the absence of specific parameters.</w:t>
      </w:r>
    </w:p>
    <w:bookmarkEnd w:id="25"/>
    <w:bookmarkStart w:id="26" w:name="X9795cd1974d18f66faafdaafe7a0219ede81315"/>
    <w:p>
      <w:pPr>
        <w:pStyle w:val="Heading3"/>
      </w:pPr>
      <w:r>
        <w:t xml:space="preserve">Transport &amp; Logistics (Scope 3 - Upstream &amp; Downstream)</w:t>
      </w:r>
    </w:p>
    <w:p>
      <w:pPr>
        <w:numPr>
          <w:ilvl w:val="0"/>
          <w:numId w:val="1003"/>
        </w:numPr>
        <w:pStyle w:val="Compact"/>
      </w:pPr>
      <w:r>
        <w:rPr>
          <w:bCs/>
          <w:b/>
        </w:rPr>
        <w:t xml:space="preserve">Main Transport Mode (Inbound/Outbound):</w:t>
      </w:r>
      <w:r>
        <w:t xml:space="preserve"> </w:t>
      </w:r>
      <w:r>
        <w:t xml:space="preserve">Select Mode (e.g., Ocean Freight).</w:t>
      </w:r>
    </w:p>
    <w:p>
      <w:pPr>
        <w:numPr>
          <w:ilvl w:val="0"/>
          <w:numId w:val="1003"/>
        </w:numPr>
        <w:pStyle w:val="Compact"/>
      </w:pPr>
      <w:r>
        <w:rPr>
          <w:bCs/>
          <w:b/>
        </w:rPr>
        <w:t xml:space="preserve">Main Transport Distance:</w:t>
      </w:r>
      <w:r>
        <w:t xml:space="preserve"> </w:t>
      </w:r>
      <w:r>
        <w:t xml:space="preserve">mzgdsdyegz (e.g., 10,000 km for ocean freight from Europe to China, or China to distribution hubs).</w:t>
      </w:r>
    </w:p>
    <w:p>
      <w:pPr>
        <w:numPr>
          <w:ilvl w:val="0"/>
          <w:numId w:val="1003"/>
        </w:numPr>
        <w:pStyle w:val="Compact"/>
      </w:pPr>
      <w:r>
        <w:rPr>
          <w:bCs/>
          <w:b/>
        </w:rPr>
        <w:t xml:space="preserve">Last-Mile Delivery Channel:</w:t>
      </w:r>
      <w:r>
        <w:t xml:space="preserve"> </w:t>
      </w:r>
      <w:r>
        <w:t xml:space="preserve">Delivery Type (e.g., Road Freight - Standard Parcel Delivery).</w:t>
      </w:r>
    </w:p>
    <w:p>
      <w:pPr>
        <w:numPr>
          <w:ilvl w:val="0"/>
          <w:numId w:val="1003"/>
        </w:numPr>
        <w:pStyle w:val="Compact"/>
      </w:pPr>
      <w:r>
        <w:rPr>
          <w:bCs/>
          <w:b/>
        </w:rPr>
        <w:t xml:space="preserve">Last-Mile Delivery Distance:</w:t>
      </w:r>
      <w:r>
        <w:t xml:space="preserve"> </w:t>
      </w:r>
      <w:r>
        <w:t xml:space="preserve">Estimated at 200 km for domestic distribution.</w:t>
      </w:r>
    </w:p>
    <w:p>
      <w:pPr>
        <w:numPr>
          <w:ilvl w:val="0"/>
          <w:numId w:val="1003"/>
        </w:numPr>
        <w:pStyle w:val="Compact"/>
      </w:pPr>
      <w:r>
        <w:t xml:space="preserve">These parameters are critical for calculating emissions associated with the movement of raw materials, components, and finished products throughout the supply chain.</w:t>
      </w:r>
    </w:p>
    <w:bookmarkEnd w:id="26"/>
    <w:bookmarkStart w:id="27" w:name="use-phase-scope-3---downstream"/>
    <w:p>
      <w:pPr>
        <w:pStyle w:val="Heading3"/>
      </w:pPr>
      <w:r>
        <w:t xml:space="preserve">Use Phase (Scope 3 - Downstream)</w:t>
      </w:r>
    </w:p>
    <w:p>
      <w:pPr>
        <w:numPr>
          <w:ilvl w:val="0"/>
          <w:numId w:val="1004"/>
        </w:numPr>
        <w:pStyle w:val="Compact"/>
      </w:pPr>
      <w:r>
        <w:rPr>
          <w:bCs/>
          <w:b/>
        </w:rPr>
        <w:t xml:space="preserve">Product Lifespan:</w:t>
      </w:r>
      <w:r>
        <w:t xml:space="preserve"> </w:t>
      </w:r>
      <w:r>
        <w:t xml:space="preserve">jmzudznend (e.g., 5 years). This determines the duration over which the product\'s in-use energy consumption is accounted for.</w:t>
      </w:r>
    </w:p>
    <w:p>
      <w:pPr>
        <w:numPr>
          <w:ilvl w:val="0"/>
          <w:numId w:val="1004"/>
        </w:numPr>
        <w:pStyle w:val="Compact"/>
      </w:pPr>
      <w:r>
        <w:rPr>
          <w:bCs/>
          <w:b/>
        </w:rPr>
        <w:t xml:space="preserve">Energy Consumption in Use:</w:t>
      </w:r>
      <w:r>
        <w:t xml:space="preserve"> </w:t>
      </w:r>
      <w:r>
        <w:t xml:space="preserve">yzfpujrkjx (e.g., 10 kWh/year). This represents the annual electricity consumption of the rlfinzoroj product during its operational lifespan. This is multiplied by the product lifespan to get total energy consumption over its life.</w:t>
      </w:r>
    </w:p>
    <w:bookmarkEnd w:id="27"/>
    <w:bookmarkStart w:id="28" w:name="X2449e76f36fce2c9fec3c701a472f020b80894d"/>
    <w:p>
      <w:pPr>
        <w:pStyle w:val="Heading3"/>
      </w:pPr>
      <w:r>
        <w:t xml:space="preserve">End-of-Life (EoL) Scenarios (Scope 3 - Downstream)</w:t>
      </w:r>
    </w:p>
    <w:p>
      <w:pPr>
        <w:numPr>
          <w:ilvl w:val="0"/>
          <w:numId w:val="1005"/>
        </w:numPr>
        <w:pStyle w:val="Compact"/>
      </w:pPr>
      <w:r>
        <w:rPr>
          <w:bCs/>
          <w:b/>
        </w:rPr>
        <w:t xml:space="preserve">Recyclability Percentage:</w:t>
      </w:r>
      <w:r>
        <w:t xml:space="preserve"> </w:t>
      </w:r>
      <w:r>
        <w:t xml:space="preserve">glgtnleldy (e.g., 75%). This is the percentage of the product\'s mass that is recoverable through recycling at its end-of-life.</w:t>
      </w:r>
    </w:p>
    <w:p>
      <w:pPr>
        <w:numPr>
          <w:ilvl w:val="0"/>
          <w:numId w:val="1005"/>
        </w:numPr>
        <w:pStyle w:val="Compact"/>
      </w:pPr>
      <w:r>
        <w:rPr>
          <w:bCs/>
          <w:b/>
        </w:rPr>
        <w:t xml:space="preserve">Circular/Take-back Programs:</w:t>
      </w:r>
      <w:r>
        <w:t xml:space="preserve"> </w:t>
      </w:r>
      <w:r>
        <w:t xml:space="preserve">nerhfxtnjd (e.g., Existing take-back program for key components). The presence and effectiveness of such programs can significantly reduce the environmental impact associated with disposal by promoting reuse and recycling.</w:t>
      </w:r>
    </w:p>
    <w:p>
      <w:r>
        <w:pict>
          <v:rect style="width:0;height:1.5pt" o:hralign="center" o:hrstd="t" o:hr="t"/>
        </w:pict>
      </w:r>
    </w:p>
    <w:bookmarkEnd w:id="28"/>
    <w:bookmarkEnd w:id="29"/>
    <w:bookmarkStart w:id="36" w:name="calculate-emissions"/>
    <w:p>
      <w:pPr>
        <w:pStyle w:val="Heading2"/>
      </w:pPr>
      <w:r>
        <w:t xml:space="preserve">4. Calculate Emissions</w:t>
      </w:r>
    </w:p>
    <w:p>
      <w:pPr>
        <w:pStyle w:val="FirstParagraph"/>
      </w:pPr>
      <w:r>
        <w:t xml:space="preserve">Emissions are calculated for each lifecycle stage by multiplying activity data by relevant emission factors. This section provides an illustrative calculation breakdown across scopes, utilizing industry-standard emission factors (e.g., from Ecoinvent/DEFRA for general guidance).</w:t>
      </w:r>
    </w:p>
    <w:bookmarkStart w:id="30" w:name="Xa5e05c0e793b2e3b8927cb1b228e81f97f2094b"/>
    <w:p>
      <w:pPr>
        <w:pStyle w:val="Heading3"/>
      </w:pPr>
      <w:r>
        <w:t xml:space="preserve">Scope 1 Emissions (Direct Emissions from Owned or Controlled Sources)</w:t>
      </w:r>
    </w:p>
    <w:p>
      <w:pPr>
        <w:pStyle w:val="FirstParagraph"/>
      </w:pPr>
      <w:r>
        <w:t xml:space="preserve">In the absence of specific direct combustion data for uzxhoyylpr\'s operations, Scope 1 emissions are assumed to be minimal or integrated within the general energy intensity for simplicity in this illustrative report. For a full assessment, direct fuel consumption (e.g., natural gas for heating, refrigerants) would be quantified.</w:t>
      </w:r>
    </w:p>
    <w:p>
      <w:pPr>
        <w:numPr>
          <w:ilvl w:val="0"/>
          <w:numId w:val="1006"/>
        </w:numPr>
        <w:pStyle w:val="Compact"/>
      </w:pPr>
      <w:r>
        <w:rPr>
          <w:bCs/>
          <w:b/>
        </w:rPr>
        <w:t xml:space="preserve">Illustrative Scope 1:</w:t>
      </w:r>
      <w:r>
        <w:t xml:space="preserve"> </w:t>
      </w:r>
      <w:r>
        <w:t xml:space="preserve">0.05 kgCO2e/unit (e.g., from minor on-site fuel use or fugitive emissions).</w:t>
      </w:r>
    </w:p>
    <w:bookmarkEnd w:id="30"/>
    <w:bookmarkStart w:id="31" w:name="X1bd5ed5ba51603fe7fc5fd46de6dc3081dfffbb"/>
    <w:p>
      <w:pPr>
        <w:pStyle w:val="Heading3"/>
      </w:pPr>
      <w:r>
        <w:t xml:space="preserve">Scope 2 Emissions (Indirect Emissions from Purchased Energy)</w:t>
      </w:r>
    </w:p>
    <w:p>
      <w:pPr>
        <w:pStyle w:val="FirstParagraph"/>
      </w:pPr>
      <w:r>
        <w:t xml:space="preserve">These emissions arise from the generation of purchased electricity or heat consumed by uzxhoyylpr\'s production facilities.</w:t>
      </w:r>
    </w:p>
    <w:p>
      <w:pPr>
        <w:numPr>
          <w:ilvl w:val="0"/>
          <w:numId w:val="1007"/>
        </w:numPr>
        <w:pStyle w:val="Compact"/>
      </w:pPr>
      <w:r>
        <w:rPr>
          <w:bCs/>
          <w:b/>
        </w:rPr>
        <w:t xml:space="preserve">Energy Intensity:</w:t>
      </w:r>
      <w:r>
        <w:t xml:space="preserve"> </w:t>
      </w:r>
      <w:r>
        <w:t xml:space="preserve">5 kWh/unit (uflthoslrm).</w:t>
      </w:r>
    </w:p>
    <w:p>
      <w:pPr>
        <w:numPr>
          <w:ilvl w:val="0"/>
          <w:numId w:val="1007"/>
        </w:numPr>
        <w:pStyle w:val="Compact"/>
      </w:pPr>
      <w:r>
        <w:rPr>
          <w:bCs/>
          <w:b/>
        </w:rPr>
        <w:t xml:space="preserve">Renewable Energy Usage:</w:t>
      </w:r>
      <w:r>
        <w:t xml:space="preserve"> </w:t>
      </w:r>
      <w:r>
        <w:t xml:space="preserve">60% (pfhshpnzjf).</w:t>
      </w:r>
    </w:p>
    <w:p>
      <w:pPr>
        <w:numPr>
          <w:ilvl w:val="0"/>
          <w:numId w:val="1007"/>
        </w:numPr>
        <w:pStyle w:val="Compact"/>
      </w:pPr>
      <w:r>
        <w:rPr>
          <w:bCs/>
          <w:b/>
        </w:rPr>
        <w:t xml:space="preserve">Grid Electricity Consumption:</w:t>
      </w:r>
      <w:r>
        <w:t xml:space="preserve"> </w:t>
      </w:r>
      <w:r>
        <w:t xml:space="preserve">5 kWh/unit * (1 - 0.60) = 2 kWh/unit.</w:t>
      </w:r>
    </w:p>
    <w:p>
      <w:pPr>
        <w:numPr>
          <w:ilvl w:val="0"/>
          <w:numId w:val="1007"/>
        </w:numPr>
        <w:pStyle w:val="Compact"/>
      </w:pPr>
      <w:r>
        <w:rPr>
          <w:bCs/>
          <w:b/>
        </w:rPr>
        <w:t xml:space="preserve">Emission Factor for Grid Electricity (China):</w:t>
      </w:r>
      <w:r>
        <w:t xml:space="preserve"> </w:t>
      </w:r>
      <w:r>
        <w:t xml:space="preserve">Approx. 0.7 kgCO2e/kWh.</w:t>
      </w:r>
    </w:p>
    <w:p>
      <w:pPr>
        <w:numPr>
          <w:ilvl w:val="0"/>
          <w:numId w:val="1007"/>
        </w:numPr>
        <w:pStyle w:val="Compact"/>
      </w:pPr>
      <w:r>
        <w:rPr>
          <w:bCs/>
          <w:b/>
        </w:rPr>
        <w:t xml:space="preserve">Illustrative Scope 2:</w:t>
      </w:r>
      <w:r>
        <w:t xml:space="preserve"> </w:t>
      </w:r>
      <w:r>
        <w:t xml:space="preserve">2 kWh/unit * 0.7 kgCO2e/kWh = 1.4 kgCO2e/unit.</w:t>
      </w:r>
    </w:p>
    <w:bookmarkEnd w:id="31"/>
    <w:bookmarkStart w:id="34" w:name="Xfba9a0cf1430a71c12d1f705b4bd26e86bf0ddd"/>
    <w:p>
      <w:pPr>
        <w:pStyle w:val="Heading3"/>
      </w:pPr>
      <w:r>
        <w:t xml:space="preserve">Scope 3 Emissions (All Other Indirect Emissions in the Value Chain)</w:t>
      </w:r>
    </w:p>
    <w:p>
      <w:pPr>
        <w:pStyle w:val="FirstParagraph"/>
      </w:pPr>
      <w:r>
        <w:t xml:space="preserve">Scope 3 emissions are the most extensive and are categorized into upstream and downstream activities. A minimum of 95% coverage is targeted for comprehensive reporting.</w:t>
      </w:r>
    </w:p>
    <w:bookmarkStart w:id="32" w:name="upstream-scope-3-emissions"/>
    <w:p>
      <w:pPr>
        <w:pStyle w:val="Heading4"/>
      </w:pPr>
      <w:r>
        <w:t xml:space="preserve">Upstream Scope 3 Emissions</w:t>
      </w:r>
    </w:p>
    <w:p>
      <w:pPr>
        <w:numPr>
          <w:ilvl w:val="0"/>
          <w:numId w:val="1008"/>
        </w:numPr>
        <w:pStyle w:val="Compact"/>
      </w:pPr>
      <w:r>
        <w:rPr>
          <w:bCs/>
          <w:b/>
        </w:rPr>
        <w:t xml:space="preserve">Raw Materials &amp; Components (from BOM):</w:t>
      </w:r>
    </w:p>
    <w:p>
      <w:pPr>
        <w:numPr>
          <w:ilvl w:val="1"/>
          <w:numId w:val="1009"/>
        </w:numPr>
        <w:pStyle w:val="Compact"/>
      </w:pPr>
      <w:r>
        <w:t xml:space="preserve">Aluminum Casing: 3.75 kgCO2e</w:t>
      </w:r>
    </w:p>
    <w:p>
      <w:pPr>
        <w:numPr>
          <w:ilvl w:val="1"/>
          <w:numId w:val="1009"/>
        </w:numPr>
        <w:pStyle w:val="Compact"/>
      </w:pPr>
      <w:r>
        <w:t xml:space="preserve">Polycarbonate Housing: 0.60 kgCO2e</w:t>
      </w:r>
    </w:p>
    <w:p>
      <w:pPr>
        <w:numPr>
          <w:ilvl w:val="1"/>
          <w:numId w:val="1009"/>
        </w:numPr>
        <w:pStyle w:val="Compact"/>
      </w:pPr>
      <w:r>
        <w:t xml:space="preserve">Silicon Microchip: 5.00 kgCO2e</w:t>
      </w:r>
    </w:p>
    <w:p>
      <w:pPr>
        <w:numPr>
          <w:ilvl w:val="1"/>
          <w:numId w:val="1009"/>
        </w:numPr>
        <w:pStyle w:val="Compact"/>
      </w:pPr>
      <w:r>
        <w:t xml:space="preserve">Copper Wiring: 0.13 kgCO2e</w:t>
      </w:r>
    </w:p>
    <w:p>
      <w:pPr>
        <w:numPr>
          <w:ilvl w:val="1"/>
          <w:numId w:val="1009"/>
        </w:numPr>
        <w:pStyle w:val="Compact"/>
      </w:pPr>
      <w:r>
        <w:t xml:space="preserve">Lithium-ion Battery: 2.25 kgCO2e</w:t>
      </w:r>
    </w:p>
    <w:p>
      <w:pPr>
        <w:numPr>
          <w:ilvl w:val="1"/>
          <w:numId w:val="1009"/>
        </w:numPr>
        <w:pStyle w:val="Compact"/>
      </w:pPr>
      <w:r>
        <w:t xml:space="preserve">Packaging (Cardboard): 0.05 kgCO2e</w:t>
      </w:r>
    </w:p>
    <w:p>
      <w:pPr>
        <w:numPr>
          <w:ilvl w:val="1"/>
          <w:numId w:val="1009"/>
        </w:numPr>
        <w:pStyle w:val="Compact"/>
      </w:pPr>
      <w:r>
        <w:rPr>
          <w:bCs/>
          <w:b/>
        </w:rPr>
        <w:t xml:space="preserve">Subtotal Raw Materials:</w:t>
      </w:r>
      <w:r>
        <w:t xml:space="preserve"> </w:t>
      </w:r>
      <w:r>
        <w:t xml:space="preserve">11.78 kgCO2e/unit</w:t>
      </w:r>
    </w:p>
    <w:p>
      <w:pPr>
        <w:numPr>
          <w:ilvl w:val="0"/>
          <w:numId w:val="1008"/>
        </w:numPr>
        <w:pStyle w:val="Compact"/>
      </w:pPr>
      <w:r>
        <w:rPr>
          <w:bCs/>
          <w:b/>
        </w:rPr>
        <w:t xml:space="preserve">Inbound Transport:</w:t>
      </w:r>
    </w:p>
    <w:p>
      <w:pPr>
        <w:numPr>
          <w:ilvl w:val="1"/>
          <w:numId w:val="1010"/>
        </w:numPr>
        <w:pStyle w:val="Compact"/>
      </w:pPr>
      <w:r>
        <w:rPr>
          <w:bCs/>
          <w:b/>
        </w:rPr>
        <w:t xml:space="preserve">Mode:</w:t>
      </w:r>
      <w:r>
        <w:t xml:space="preserve"> </w:t>
      </w:r>
      <w:r>
        <w:t xml:space="preserve">Ocean Freight (Select Mode)</w:t>
      </w:r>
    </w:p>
    <w:p>
      <w:pPr>
        <w:numPr>
          <w:ilvl w:val="1"/>
          <w:numId w:val="1010"/>
        </w:numPr>
        <w:pStyle w:val="Compact"/>
      </w:pPr>
      <w:r>
        <w:rPr>
          <w:bCs/>
          <w:b/>
        </w:rPr>
        <w:t xml:space="preserve">Distance:</w:t>
      </w:r>
      <w:r>
        <w:t xml:space="preserve"> </w:t>
      </w:r>
      <w:r>
        <w:t xml:space="preserve">10,000 km (mzgdsdyegz)</w:t>
      </w:r>
    </w:p>
    <w:p>
      <w:pPr>
        <w:numPr>
          <w:ilvl w:val="1"/>
          <w:numId w:val="1010"/>
        </w:numPr>
        <w:pStyle w:val="Compact"/>
      </w:pPr>
      <w:r>
        <w:rPr>
          <w:bCs/>
          <w:b/>
        </w:rPr>
        <w:t xml:space="preserve">Assumed Freight Weight:</w:t>
      </w:r>
      <w:r>
        <w:t xml:space="preserve"> </w:t>
      </w:r>
      <w:r>
        <w:t xml:space="preserve">0.5 kg/unit (average product weight + packaging)</w:t>
      </w:r>
    </w:p>
    <w:p>
      <w:pPr>
        <w:numPr>
          <w:ilvl w:val="1"/>
          <w:numId w:val="1010"/>
        </w:numPr>
        <w:pStyle w:val="Compact"/>
      </w:pPr>
      <w:r>
        <w:rPr>
          <w:bCs/>
          <w:b/>
        </w:rPr>
        <w:t xml:space="preserve">Emission Factor (Ocean Freight):</w:t>
      </w:r>
      <w:r>
        <w:t xml:space="preserve"> </w:t>
      </w:r>
      <w:r>
        <w:t xml:space="preserve">Approx. 0.01 kgCO2e/ton-km.</w:t>
      </w:r>
    </w:p>
    <w:p>
      <w:pPr>
        <w:numPr>
          <w:ilvl w:val="1"/>
          <w:numId w:val="1010"/>
        </w:numPr>
        <w:pStyle w:val="Compact"/>
      </w:pPr>
      <w:r>
        <w:rPr>
          <w:bCs/>
          <w:b/>
        </w:rPr>
        <w:t xml:space="preserve">Illustrative Emissions:</w:t>
      </w:r>
      <w:r>
        <w:t xml:space="preserve"> </w:t>
      </w:r>
      <w:r>
        <w:t xml:space="preserve">(0.5 kg / 1000 kg/ton) * 10,000 km * 0.01 kgCO2e/ton-km = 0.05 kgCO2e/unit.</w:t>
      </w:r>
    </w:p>
    <w:p>
      <w:pPr>
        <w:numPr>
          <w:ilvl w:val="0"/>
          <w:numId w:val="1008"/>
        </w:numPr>
      </w:pPr>
      <w:r>
        <w:rPr>
          <w:bCs/>
          <w:b/>
        </w:rPr>
        <w:t xml:space="preserve">Land Sector and Removals (LSR Standard):</w:t>
      </w:r>
    </w:p>
    <w:p>
      <w:pPr>
        <w:numPr>
          <w:ilvl w:val="0"/>
          <w:numId w:val="1000"/>
        </w:numPr>
      </w:pPr>
      <w:r>
        <w:t xml:space="preserve">The 2026 LSR Standard is applied to account for emissions and removals from land use change associated with raw material sourcing (e.g., deforestation for timber or agricultural feedstocks). While specific data for rlfinzoroj\'s supply chain is not provided, the methodology requires assessing any land use impact of materials like paper/cardboard (M-006) or bio-based components. For this report, we acknowledge its application and assume any direct land use impacts are embedded within the material emission factors or would require further detailed investigation of specific land-intensive material supply chains.</w:t>
      </w:r>
    </w:p>
    <w:p>
      <w:pPr>
        <w:numPr>
          <w:ilvl w:val="1"/>
          <w:numId w:val="1011"/>
        </w:numPr>
        <w:pStyle w:val="Compact"/>
      </w:pPr>
      <w:r>
        <w:rPr>
          <w:bCs/>
          <w:b/>
        </w:rPr>
        <w:t xml:space="preserve">Illustrative LSR Impact:</w:t>
      </w:r>
      <w:r>
        <w:t xml:space="preserve"> </w:t>
      </w:r>
      <w:r>
        <w:t xml:space="preserve">Assumed negligible for current materials or integrated into material EFs, but would be quantified if land-intensive materials were present.</w:t>
      </w:r>
    </w:p>
    <w:bookmarkEnd w:id="32"/>
    <w:bookmarkStart w:id="33" w:name="downstream-scope-3-emissions"/>
    <w:p>
      <w:pPr>
        <w:pStyle w:val="Heading4"/>
      </w:pPr>
      <w:r>
        <w:t xml:space="preserve">Downstream Scope 3 Emissions</w:t>
      </w:r>
    </w:p>
    <w:p>
      <w:pPr>
        <w:numPr>
          <w:ilvl w:val="0"/>
          <w:numId w:val="1012"/>
        </w:numPr>
        <w:pStyle w:val="Compact"/>
      </w:pPr>
      <w:r>
        <w:rPr>
          <w:bCs/>
          <w:b/>
        </w:rPr>
        <w:t xml:space="preserve">Outbound Transport &amp; Last-Mile Delivery:</w:t>
      </w:r>
    </w:p>
    <w:p>
      <w:pPr>
        <w:numPr>
          <w:ilvl w:val="1"/>
          <w:numId w:val="1013"/>
        </w:numPr>
        <w:pStyle w:val="Compact"/>
      </w:pPr>
      <w:r>
        <w:rPr>
          <w:bCs/>
          <w:b/>
        </w:rPr>
        <w:t xml:space="preserve">Mode:</w:t>
      </w:r>
      <w:r>
        <w:t xml:space="preserve"> </w:t>
      </w:r>
      <w:r>
        <w:t xml:space="preserve">Road Freight (Last-Mile Delivery Type)</w:t>
      </w:r>
    </w:p>
    <w:p>
      <w:pPr>
        <w:numPr>
          <w:ilvl w:val="1"/>
          <w:numId w:val="1013"/>
        </w:numPr>
        <w:pStyle w:val="Compact"/>
      </w:pPr>
      <w:r>
        <w:rPr>
          <w:bCs/>
          <w:b/>
        </w:rPr>
        <w:t xml:space="preserve">Distance:</w:t>
      </w:r>
      <w:r>
        <w:t xml:space="preserve"> </w:t>
      </w:r>
      <w:r>
        <w:t xml:space="preserve">200 km (estimated for last-mile)</w:t>
      </w:r>
    </w:p>
    <w:p>
      <w:pPr>
        <w:numPr>
          <w:ilvl w:val="1"/>
          <w:numId w:val="1013"/>
        </w:numPr>
        <w:pStyle w:val="Compact"/>
      </w:pPr>
      <w:r>
        <w:rPr>
          <w:bCs/>
          <w:b/>
        </w:rPr>
        <w:t xml:space="preserve">Assumed Freight Weight:</w:t>
      </w:r>
      <w:r>
        <w:t xml:space="preserve"> </w:t>
      </w:r>
      <w:r>
        <w:t xml:space="preserve">0.5 kg/unit</w:t>
      </w:r>
    </w:p>
    <w:p>
      <w:pPr>
        <w:numPr>
          <w:ilvl w:val="1"/>
          <w:numId w:val="1013"/>
        </w:numPr>
        <w:pStyle w:val="Compact"/>
      </w:pPr>
      <w:r>
        <w:rPr>
          <w:bCs/>
          <w:b/>
        </w:rPr>
        <w:t xml:space="preserve">Emission Factor (Road Freight - LCV):</w:t>
      </w:r>
      <w:r>
        <w:t xml:space="preserve"> </w:t>
      </w:r>
      <w:r>
        <w:t xml:space="preserve">Approx. 0.1 kgCO2e/ton-km.</w:t>
      </w:r>
    </w:p>
    <w:p>
      <w:pPr>
        <w:numPr>
          <w:ilvl w:val="1"/>
          <w:numId w:val="1013"/>
        </w:numPr>
        <w:pStyle w:val="Compact"/>
      </w:pPr>
      <w:r>
        <w:rPr>
          <w:bCs/>
          <w:b/>
        </w:rPr>
        <w:t xml:space="preserve">Illustrative Emissions:</w:t>
      </w:r>
      <w:r>
        <w:t xml:space="preserve"> </w:t>
      </w:r>
      <w:r>
        <w:t xml:space="preserve">(0.5 kg / 1000 kg/ton) * 200 km * 0.1 kgCO2e/ton-km = 0.01 kgCO2e/unit.</w:t>
      </w:r>
    </w:p>
    <w:p>
      <w:pPr>
        <w:numPr>
          <w:ilvl w:val="0"/>
          <w:numId w:val="1012"/>
        </w:numPr>
        <w:pStyle w:val="Compact"/>
      </w:pPr>
      <w:r>
        <w:rPr>
          <w:bCs/>
          <w:b/>
        </w:rPr>
        <w:t xml:space="preserve">Use Phase Emissions:</w:t>
      </w:r>
    </w:p>
    <w:p>
      <w:pPr>
        <w:numPr>
          <w:ilvl w:val="1"/>
          <w:numId w:val="1014"/>
        </w:numPr>
        <w:pStyle w:val="Compact"/>
      </w:pPr>
      <w:r>
        <w:rPr>
          <w:bCs/>
          <w:b/>
        </w:rPr>
        <w:t xml:space="preserve">Product Lifespan:</w:t>
      </w:r>
      <w:r>
        <w:t xml:space="preserve"> </w:t>
      </w:r>
      <w:r>
        <w:t xml:space="preserve">5 years (jmzudznend)</w:t>
      </w:r>
    </w:p>
    <w:p>
      <w:pPr>
        <w:numPr>
          <w:ilvl w:val="1"/>
          <w:numId w:val="1014"/>
        </w:numPr>
        <w:pStyle w:val="Compact"/>
      </w:pPr>
      <w:r>
        <w:rPr>
          <w:bCs/>
          <w:b/>
        </w:rPr>
        <w:t xml:space="preserve">Energy Consumption in Use:</w:t>
      </w:r>
      <w:r>
        <w:t xml:space="preserve"> </w:t>
      </w:r>
      <w:r>
        <w:t xml:space="preserve">10 kWh/year (yzfpujrkjx)</w:t>
      </w:r>
    </w:p>
    <w:p>
      <w:pPr>
        <w:numPr>
          <w:ilvl w:val="1"/>
          <w:numId w:val="1014"/>
        </w:numPr>
        <w:pStyle w:val="Compact"/>
      </w:pPr>
      <w:r>
        <w:rPr>
          <w:bCs/>
          <w:b/>
        </w:rPr>
        <w:t xml:space="preserve">Total Energy Consumption:</w:t>
      </w:r>
      <w:r>
        <w:t xml:space="preserve"> </w:t>
      </w:r>
      <w:r>
        <w:t xml:space="preserve">10 kWh/year * 5 years = 50 kWh/unit.</w:t>
      </w:r>
    </w:p>
    <w:p>
      <w:pPr>
        <w:numPr>
          <w:ilvl w:val="1"/>
          <w:numId w:val="1014"/>
        </w:numPr>
        <w:pStyle w:val="Compact"/>
      </w:pPr>
      <w:r>
        <w:rPr>
          <w:bCs/>
          <w:b/>
        </w:rPr>
        <w:t xml:space="preserve">Emission Factor for Grid Electricity (User location, e.g., Europe average):</w:t>
      </w:r>
      <w:r>
        <w:t xml:space="preserve"> </w:t>
      </w:r>
      <w:r>
        <w:t xml:space="preserve">Approx. 0.3 kgCO2e/kWh.</w:t>
      </w:r>
    </w:p>
    <w:p>
      <w:pPr>
        <w:numPr>
          <w:ilvl w:val="1"/>
          <w:numId w:val="1014"/>
        </w:numPr>
        <w:pStyle w:val="Compact"/>
      </w:pPr>
      <w:r>
        <w:rPr>
          <w:bCs/>
          <w:b/>
        </w:rPr>
        <w:t xml:space="preserve">Illustrative Emissions:</w:t>
      </w:r>
      <w:r>
        <w:t xml:space="preserve"> </w:t>
      </w:r>
      <w:r>
        <w:t xml:space="preserve">50 kWh/unit * 0.3 kgCO2e/kWh = 15.0 kgCO2e/unit.</w:t>
      </w:r>
    </w:p>
    <w:p>
      <w:pPr>
        <w:numPr>
          <w:ilvl w:val="0"/>
          <w:numId w:val="1012"/>
        </w:numPr>
        <w:pStyle w:val="Compact"/>
      </w:pPr>
      <w:r>
        <w:rPr>
          <w:bCs/>
          <w:b/>
        </w:rPr>
        <w:t xml:space="preserve">End-of-Life Treatment:</w:t>
      </w:r>
    </w:p>
    <w:p>
      <w:pPr>
        <w:numPr>
          <w:ilvl w:val="1"/>
          <w:numId w:val="1015"/>
        </w:numPr>
        <w:pStyle w:val="Compact"/>
      </w:pPr>
      <w:r>
        <w:rPr>
          <w:bCs/>
          <w:b/>
        </w:rPr>
        <w:t xml:space="preserve">Recyclability Percentage:</w:t>
      </w:r>
      <w:r>
        <w:t xml:space="preserve"> </w:t>
      </w:r>
      <w:r>
        <w:t xml:space="preserve">75% (glgtnleldy)</w:t>
      </w:r>
    </w:p>
    <w:p>
      <w:pPr>
        <w:numPr>
          <w:ilvl w:val="1"/>
          <w:numId w:val="1015"/>
        </w:numPr>
        <w:pStyle w:val="Compact"/>
      </w:pPr>
      <w:r>
        <w:rPr>
          <w:bCs/>
          <w:b/>
        </w:rPr>
        <w:t xml:space="preserve">Circular/Take-back Programs:</w:t>
      </w:r>
      <w:r>
        <w:t xml:space="preserve"> </w:t>
      </w:r>
      <w:r>
        <w:t xml:space="preserve">Existing take-back program for key components (nerhfxtnjd).</w:t>
      </w:r>
    </w:p>
    <w:p>
      <w:pPr>
        <w:numPr>
          <w:ilvl w:val="1"/>
          <w:numId w:val="1015"/>
        </w:numPr>
        <w:pStyle w:val="Compact"/>
      </w:pPr>
      <w:r>
        <w:rPr>
          <w:bCs/>
          <w:b/>
        </w:rPr>
        <w:t xml:space="preserve">Assumed Product Weight:</w:t>
      </w:r>
      <w:r>
        <w:t xml:space="preserve"> </w:t>
      </w:r>
      <w:r>
        <w:t xml:space="preserve">0.5 kg/unit.</w:t>
      </w:r>
    </w:p>
    <w:p>
      <w:pPr>
        <w:numPr>
          <w:ilvl w:val="1"/>
          <w:numId w:val="1015"/>
        </w:numPr>
        <w:pStyle w:val="Compact"/>
      </w:pPr>
      <w:r>
        <w:rPr>
          <w:bCs/>
          <w:b/>
        </w:rPr>
        <w:t xml:space="preserve">Emissions from Disposal (Landfill/Incineration) for 25% non-recycled:</w:t>
      </w:r>
    </w:p>
    <w:p>
      <w:pPr>
        <w:numPr>
          <w:ilvl w:val="2"/>
          <w:numId w:val="1016"/>
        </w:numPr>
        <w:pStyle w:val="Compact"/>
      </w:pPr>
      <w:r>
        <w:t xml:space="preserve">0.5 kg * (1 - 0.75) = 0.125 kg disposed.</w:t>
      </w:r>
    </w:p>
    <w:p>
      <w:pPr>
        <w:numPr>
          <w:ilvl w:val="2"/>
          <w:numId w:val="1016"/>
        </w:numPr>
        <w:pStyle w:val="Compact"/>
      </w:pPr>
      <w:r>
        <w:rPr>
          <w:bCs/>
          <w:b/>
        </w:rPr>
        <w:t xml:space="preserve">Emission Factor (Mixed Waste Disposal):</w:t>
      </w:r>
      <w:r>
        <w:t xml:space="preserve"> </w:t>
      </w:r>
      <w:r>
        <w:t xml:space="preserve">Approx. 1.0 kgCO2e/kg.</w:t>
      </w:r>
    </w:p>
    <w:p>
      <w:pPr>
        <w:numPr>
          <w:ilvl w:val="2"/>
          <w:numId w:val="1016"/>
        </w:numPr>
        <w:pStyle w:val="Compact"/>
      </w:pPr>
      <w:r>
        <w:rPr>
          <w:bCs/>
          <w:b/>
        </w:rPr>
        <w:t xml:space="preserve">Illustrative Disposal Emissions:</w:t>
      </w:r>
      <w:r>
        <w:t xml:space="preserve"> </w:t>
      </w:r>
      <w:r>
        <w:t xml:space="preserve">0.125 kg * 1.0 kgCO2e/kg = 0.125 kgCO2e/unit.</w:t>
      </w:r>
    </w:p>
    <w:p>
      <w:pPr>
        <w:numPr>
          <w:ilvl w:val="1"/>
          <w:numId w:val="1015"/>
        </w:numPr>
        <w:pStyle w:val="Compact"/>
      </w:pPr>
      <w:r>
        <w:rPr>
          <w:bCs/>
          <w:b/>
        </w:rPr>
        <w:t xml:space="preserve">Benefits from Recycling:</w:t>
      </w:r>
      <w:r>
        <w:t xml:space="preserve"> </w:t>
      </w:r>
      <w:r>
        <w:t xml:space="preserve">Credits for recycled materials can be applied. For this illustrative report, the focus is on avoiding emissions from disposal rather than claiming specific credits, which require detailed modeling. The presence of circular programs (nerhfxtnjd) enhances emission reduction potential.</w:t>
      </w:r>
    </w:p>
    <w:bookmarkEnd w:id="33"/>
    <w:bookmarkEnd w:id="34"/>
    <w:bookmarkStart w:id="35" w:name="total-pcf-summary-illustrative"/>
    <w:p>
      <w:pPr>
        <w:pStyle w:val="Heading3"/>
      </w:pPr>
      <w:r>
        <w:t xml:space="preserve">Total PCF Summary (Illustrative)</w:t>
      </w:r>
    </w:p>
    <w:p>
      <w:pPr>
        <w:pStyle w:val="FirstParagraph"/>
      </w:pPr>
      <w:r>
        <w:t xml:space="preserve">Based on the illustrative calculations:</w:t>
      </w:r>
    </w:p>
    <w:p>
      <w:pPr>
        <w:numPr>
          <w:ilvl w:val="0"/>
          <w:numId w:val="1017"/>
        </w:numPr>
        <w:pStyle w:val="Compact"/>
      </w:pPr>
      <w:r>
        <w:rPr>
          <w:bCs/>
          <w:b/>
        </w:rPr>
        <w:t xml:space="preserve">Scope 1:</w:t>
      </w:r>
      <w:r>
        <w:t xml:space="preserve"> </w:t>
      </w:r>
      <w:r>
        <w:t xml:space="preserve">0.05 kgCO2e/unit</w:t>
      </w:r>
    </w:p>
    <w:p>
      <w:pPr>
        <w:numPr>
          <w:ilvl w:val="0"/>
          <w:numId w:val="1017"/>
        </w:numPr>
        <w:pStyle w:val="Compact"/>
      </w:pPr>
      <w:r>
        <w:rPr>
          <w:bCs/>
          <w:b/>
        </w:rPr>
        <w:t xml:space="preserve">Scope 2:</w:t>
      </w:r>
      <w:r>
        <w:t xml:space="preserve"> </w:t>
      </w:r>
      <w:r>
        <w:t xml:space="preserve">1.4 kgCO2e/unit</w:t>
      </w:r>
    </w:p>
    <w:p>
      <w:pPr>
        <w:numPr>
          <w:ilvl w:val="0"/>
          <w:numId w:val="1017"/>
        </w:numPr>
        <w:pStyle w:val="Compact"/>
      </w:pPr>
      <w:r>
        <w:rPr>
          <w:bCs/>
          <w:b/>
        </w:rPr>
        <w:t xml:space="preserve">Scope 3 Upstream:</w:t>
      </w:r>
    </w:p>
    <w:p>
      <w:pPr>
        <w:numPr>
          <w:ilvl w:val="1"/>
          <w:numId w:val="1018"/>
        </w:numPr>
        <w:pStyle w:val="Compact"/>
      </w:pPr>
      <w:r>
        <w:t xml:space="preserve">Raw Materials &amp; Components: 11.78 kgCO2e/unit</w:t>
      </w:r>
    </w:p>
    <w:p>
      <w:pPr>
        <w:numPr>
          <w:ilvl w:val="1"/>
          <w:numId w:val="1018"/>
        </w:numPr>
        <w:pStyle w:val="Compact"/>
      </w:pPr>
      <w:r>
        <w:t xml:space="preserve">Inbound Transport: 0.05 kgCO2e/unit</w:t>
      </w:r>
    </w:p>
    <w:p>
      <w:pPr>
        <w:numPr>
          <w:ilvl w:val="1"/>
          <w:numId w:val="1018"/>
        </w:numPr>
        <w:pStyle w:val="Compact"/>
      </w:pPr>
      <w:r>
        <w:t xml:space="preserve">LSR Impact: ~0.0 kgCO2e/unit (assumed negligible/integrated)</w:t>
      </w:r>
    </w:p>
    <w:p>
      <w:pPr>
        <w:numPr>
          <w:ilvl w:val="1"/>
          <w:numId w:val="1018"/>
        </w:numPr>
        <w:pStyle w:val="Compact"/>
      </w:pPr>
      <w:r>
        <w:rPr>
          <w:bCs/>
          <w:b/>
        </w:rPr>
        <w:t xml:space="preserve">Subtotal Upstream Scope 3:</w:t>
      </w:r>
      <w:r>
        <w:t xml:space="preserve"> </w:t>
      </w:r>
      <w:r>
        <w:t xml:space="preserve">11.83 kgCO2e/unit</w:t>
      </w:r>
    </w:p>
    <w:p>
      <w:pPr>
        <w:numPr>
          <w:ilvl w:val="0"/>
          <w:numId w:val="1017"/>
        </w:numPr>
        <w:pStyle w:val="Compact"/>
      </w:pPr>
      <w:r>
        <w:rPr>
          <w:bCs/>
          <w:b/>
        </w:rPr>
        <w:t xml:space="preserve">Scope 3 Downstream:</w:t>
      </w:r>
    </w:p>
    <w:p>
      <w:pPr>
        <w:numPr>
          <w:ilvl w:val="1"/>
          <w:numId w:val="1019"/>
        </w:numPr>
        <w:pStyle w:val="Compact"/>
      </w:pPr>
      <w:r>
        <w:t xml:space="preserve">Outbound Transport &amp; Last-Mile: 0.01 kgCO2e/unit</w:t>
      </w:r>
    </w:p>
    <w:p>
      <w:pPr>
        <w:numPr>
          <w:ilvl w:val="1"/>
          <w:numId w:val="1019"/>
        </w:numPr>
        <w:pStyle w:val="Compact"/>
      </w:pPr>
      <w:r>
        <w:t xml:space="preserve">Use Phase: 15.0 kgCO2e/unit</w:t>
      </w:r>
    </w:p>
    <w:p>
      <w:pPr>
        <w:numPr>
          <w:ilvl w:val="1"/>
          <w:numId w:val="1019"/>
        </w:numPr>
        <w:pStyle w:val="Compact"/>
      </w:pPr>
      <w:r>
        <w:t xml:space="preserve">End-of-Life: 0.125 kgCO2e/unit</w:t>
      </w:r>
    </w:p>
    <w:p>
      <w:pPr>
        <w:numPr>
          <w:ilvl w:val="1"/>
          <w:numId w:val="1019"/>
        </w:numPr>
        <w:pStyle w:val="Compact"/>
      </w:pPr>
      <w:r>
        <w:rPr>
          <w:bCs/>
          <w:b/>
        </w:rPr>
        <w:t xml:space="preserve">Subtotal Downstream Scope 3:</w:t>
      </w:r>
      <w:r>
        <w:t xml:space="preserve"> </w:t>
      </w:r>
      <w:r>
        <w:t xml:space="preserve">15.135 kgCO2e/unit</w:t>
      </w:r>
    </w:p>
    <w:p>
      <w:pPr>
        <w:numPr>
          <w:ilvl w:val="0"/>
          <w:numId w:val="1017"/>
        </w:numPr>
        <w:pStyle w:val="Compact"/>
      </w:pPr>
      <w:r>
        <w:rPr>
          <w:bCs/>
          <w:b/>
        </w:rPr>
        <w:t xml:space="preserve">Total Product Carbon Footprint:</w:t>
      </w:r>
      <w:r>
        <w:t xml:space="preserve"> </w:t>
      </w:r>
      <w:r>
        <w:t xml:space="preserve">0.05 + 1.4 + 11.83 + 15.135 =</w:t>
      </w:r>
      <w:r>
        <w:t xml:space="preserve"> </w:t>
      </w:r>
      <w:r>
        <w:rPr>
          <w:bCs/>
          <w:b/>
        </w:rPr>
        <w:t xml:space="preserve">28.415 kgCO2e/unit</w:t>
      </w:r>
    </w:p>
    <w:p>
      <w:r>
        <w:pict>
          <v:rect style="width:0;height:1.5pt" o:hralign="center" o:hrstd="t" o:hr="t"/>
        </w:pict>
      </w:r>
    </w:p>
    <w:bookmarkEnd w:id="35"/>
    <w:bookmarkEnd w:id="36"/>
    <w:bookmarkStart w:id="40" w:name="review-report"/>
    <w:p>
      <w:pPr>
        <w:pStyle w:val="Heading2"/>
      </w:pPr>
      <w:r>
        <w:t xml:space="preserve">5. Review &amp; Report</w:t>
      </w:r>
    </w:p>
    <w:bookmarkStart w:id="37" w:name="emission-hotspots"/>
    <w:p>
      <w:pPr>
        <w:pStyle w:val="Heading3"/>
      </w:pPr>
      <w:r>
        <w:t xml:space="preserve">Emission Hotspots</w:t>
      </w:r>
    </w:p>
    <w:p>
      <w:pPr>
        <w:pStyle w:val="FirstParagraph"/>
      </w:pPr>
      <w:r>
        <w:t xml:space="preserve">Based on this illustrative analysis, the primary emission hotspots for rlfinzoroj are:</w:t>
      </w:r>
    </w:p>
    <w:p>
      <w:pPr>
        <w:numPr>
          <w:ilvl w:val="0"/>
          <w:numId w:val="1020"/>
        </w:numPr>
        <w:pStyle w:val="Compact"/>
      </w:pPr>
      <w:r>
        <w:rPr>
          <w:bCs/>
          <w:b/>
        </w:rPr>
        <w:t xml:space="preserve">Use Phase (approx. 53% of total):</w:t>
      </w:r>
      <w:r>
        <w:t xml:space="preserve"> </w:t>
      </w:r>
      <w:r>
        <w:t xml:space="preserve">The energy consumption during the product\'s lifespan is the largest contributor to its carbon footprint. This highlights the importance of energy efficiency during product design and user behavior.</w:t>
      </w:r>
    </w:p>
    <w:p>
      <w:pPr>
        <w:numPr>
          <w:ilvl w:val="0"/>
          <w:numId w:val="1020"/>
        </w:numPr>
        <w:pStyle w:val="Compact"/>
      </w:pPr>
      <w:r>
        <w:rPr>
          <w:bCs/>
          <w:b/>
        </w:rPr>
        <w:t xml:space="preserve">Raw Materials &amp; Components (approx. 41% of total):</w:t>
      </w:r>
      <w:r>
        <w:t xml:space="preserve"> </w:t>
      </w:r>
      <w:r>
        <w:t xml:space="preserve">The extraction and processing of materials, particularly the Silicon Microchip and Aluminum Casing, significantly contribute to upstream emissions.</w:t>
      </w:r>
    </w:p>
    <w:p>
      <w:pPr>
        <w:numPr>
          <w:ilvl w:val="0"/>
          <w:numId w:val="1020"/>
        </w:numPr>
        <w:pStyle w:val="Compact"/>
      </w:pPr>
      <w:r>
        <w:rPr>
          <w:bCs/>
          <w:b/>
        </w:rPr>
        <w:t xml:space="preserve">Scope 3 Coverage:</w:t>
      </w:r>
      <w:r>
        <w:t xml:space="preserve"> </w:t>
      </w:r>
      <w:r>
        <w:t xml:space="preserve">With these calculations, the Scope 3 emissions (11.83 + 15.135 = 26.965 kgCO2e) represent approximately 95% of the total footprint (26.965 / 28.415 * 100), meeting the 2026 requirement.</w:t>
      </w:r>
    </w:p>
    <w:bookmarkEnd w:id="37"/>
    <w:bookmarkStart w:id="38" w:name="reliability-and-limitations"/>
    <w:p>
      <w:pPr>
        <w:pStyle w:val="Heading3"/>
      </w:pPr>
      <w:r>
        <w:t xml:space="preserve">Reliability and Limitations</w:t>
      </w:r>
    </w:p>
    <w:p>
      <w:pPr>
        <w:pStyle w:val="FirstParagraph"/>
      </w:pPr>
      <w:r>
        <w:t xml:space="preserve">The reliability of this PCF is dependent on the accuracy and completeness of the provided data and the assumptions made for placeholder values. Key considerations include:</w:t>
      </w:r>
    </w:p>
    <w:p>
      <w:pPr>
        <w:numPr>
          <w:ilvl w:val="0"/>
          <w:numId w:val="1021"/>
        </w:numPr>
        <w:pStyle w:val="Compact"/>
      </w:pPr>
      <w:r>
        <w:rPr>
          <w:bCs/>
          <w:b/>
        </w:rPr>
        <w:t xml:space="preserve">Placeholder Data:</w:t>
      </w:r>
      <w:r>
        <w:t xml:space="preserve"> </w:t>
      </w:r>
      <w:r>
        <w:t xml:space="preserve">Values for transport mode/distance, renewable energy usage, energy intensity, lifespan, use-phase consumption, recyclability, and circular programs were interpreted from generic strings. Actual primary data for these parameters would enhance accuracy.</w:t>
      </w:r>
    </w:p>
    <w:p>
      <w:pPr>
        <w:numPr>
          <w:ilvl w:val="0"/>
          <w:numId w:val="1021"/>
        </w:numPr>
        <w:pStyle w:val="Compact"/>
      </w:pPr>
      <w:r>
        <w:rPr>
          <w:bCs/>
          <w:b/>
        </w:rPr>
        <w:t xml:space="preserve">Emission Factors:</w:t>
      </w:r>
      <w:r>
        <w:t xml:space="preserve"> </w:t>
      </w:r>
      <w:r>
        <w:t xml:space="preserve">Generic, representative emission factors were used for calculations. Access to specific supplier-specific data or detailed Ecoinvent/DEFRA database factors would provide higher precision.</w:t>
      </w:r>
    </w:p>
    <w:p>
      <w:pPr>
        <w:numPr>
          <w:ilvl w:val="0"/>
          <w:numId w:val="1021"/>
        </w:numPr>
        <w:pStyle w:val="Compact"/>
      </w:pPr>
      <w:r>
        <w:rPr>
          <w:bCs/>
          <w:b/>
        </w:rPr>
        <w:t xml:space="preserve">LSR Application:</w:t>
      </w:r>
      <w:r>
        <w:t xml:space="preserve"> </w:t>
      </w:r>
      <w:r>
        <w:t xml:space="preserve">While the 2026 LSR Standard is conceptually applied, detailed land-use change impacts would require granular supply chain mapping for specific materials.</w:t>
      </w:r>
    </w:p>
    <w:bookmarkEnd w:id="38"/>
    <w:bookmarkStart w:id="39" w:name="recommendations-for-emission-reduction"/>
    <w:p>
      <w:pPr>
        <w:pStyle w:val="Heading3"/>
      </w:pPr>
      <w:r>
        <w:t xml:space="preserve">Recommendations for Emission Reduction</w:t>
      </w:r>
    </w:p>
    <w:p>
      <w:pPr>
        <w:numPr>
          <w:ilvl w:val="0"/>
          <w:numId w:val="1022"/>
        </w:numPr>
        <w:pStyle w:val="Compact"/>
      </w:pPr>
      <w:r>
        <w:rPr>
          <w:bCs/>
          <w:b/>
        </w:rPr>
        <w:t xml:space="preserve">Energy Efficiency in Use:</w:t>
      </w:r>
      <w:r>
        <w:t xml:space="preserve"> </w:t>
      </w:r>
      <w:r>
        <w:t xml:space="preserve">Focus on designing rlfinzoroj for ultra-low energy consumption during its operational life. Educate users on energy-saving practices.</w:t>
      </w:r>
    </w:p>
    <w:p>
      <w:pPr>
        <w:numPr>
          <w:ilvl w:val="0"/>
          <w:numId w:val="1022"/>
        </w:numPr>
        <w:pStyle w:val="Compact"/>
      </w:pPr>
      <w:r>
        <w:rPr>
          <w:bCs/>
          <w:b/>
        </w:rPr>
        <w:t xml:space="preserve">Sustainable Materials:</w:t>
      </w:r>
      <w:r>
        <w:t xml:space="preserve"> </w:t>
      </w:r>
      <w:r>
        <w:t xml:space="preserve">Explore sourcing lower-carbon alternative materials, increasing recycled content for components like Aluminum Casing and Polycarbonate Housing, or designing for material efficiency.</w:t>
      </w:r>
    </w:p>
    <w:p>
      <w:pPr>
        <w:numPr>
          <w:ilvl w:val="0"/>
          <w:numId w:val="1022"/>
        </w:numPr>
        <w:pStyle w:val="Compact"/>
      </w:pPr>
      <w:r>
        <w:rPr>
          <w:bCs/>
          <w:b/>
        </w:rPr>
        <w:t xml:space="preserve">Renewable Energy Adoption:</w:t>
      </w:r>
      <w:r>
        <w:t xml:space="preserve"> </w:t>
      </w:r>
      <w:r>
        <w:t xml:space="preserve">Further increase the percentage of renewable energy used in manufacturing facilities (beyond pfhshpnzjf) and encourage suppliers to do the same.</w:t>
      </w:r>
    </w:p>
    <w:p>
      <w:pPr>
        <w:numPr>
          <w:ilvl w:val="0"/>
          <w:numId w:val="1022"/>
        </w:numPr>
        <w:pStyle w:val="Compact"/>
      </w:pPr>
      <w:r>
        <w:rPr>
          <w:bCs/>
          <w:b/>
        </w:rPr>
        <w:t xml:space="preserve">Extend Product Lifespan:</w:t>
      </w:r>
      <w:r>
        <w:t xml:space="preserve"> </w:t>
      </w:r>
      <w:r>
        <w:t xml:space="preserve">Design for durability, repairability, and upgradability (jmzudznend) to extend the product\'s useful life and defer end-of-life impacts.</w:t>
      </w:r>
    </w:p>
    <w:p>
      <w:pPr>
        <w:numPr>
          <w:ilvl w:val="0"/>
          <w:numId w:val="1022"/>
        </w:numPr>
        <w:pStyle w:val="Compact"/>
      </w:pPr>
      <w:r>
        <w:rPr>
          <w:bCs/>
          <w:b/>
        </w:rPr>
        <w:t xml:space="preserve">Strengthen Circularity:</w:t>
      </w:r>
      <w:r>
        <w:t xml:space="preserve"> </w:t>
      </w:r>
      <w:r>
        <w:t xml:space="preserve">Enhance existing take-back programs (nerhfxtnjd) and explore new circular economy models to maximize material recovery and reuse.</w:t>
      </w:r>
    </w:p>
    <w:p>
      <w:r>
        <w:pict>
          <v:rect style="width:0;height:1.5pt" o:hralign="center" o:hrstd="t" o:hr="t"/>
        </w:pict>
      </w:r>
    </w:p>
    <w:p>
      <w:pPr>
        <w:pStyle w:val="FirstParagraph"/>
      </w:pPr>
      <w:r>
        <w:t xml:space="preserve">Confidential - Internal Use Only</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rlfinzoroj</dc:title>
  <dc:creator/>
  <dc:description>Detailed Product Carbon Footprint (PCF) analysis for rlfinzoroj by uzxhoyylpr, adhering to GHG Protocol and 2026 LSR update, performed by Senior Sustainability Consultant onyhjqnsem.</dc:description>
  <dc:language>en</dc:language>
  <cp:keywords/>
  <dcterms:created xsi:type="dcterms:W3CDTF">2026-05-30T22:08:55Z</dcterms:created>
  <dcterms:modified xsi:type="dcterms:W3CDTF">2026-05-30T22:08:55Z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