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rldsyykjyn</w:t>
      </w:r>
      <w:r>
        <w:t xml:space="preserve"> </w:t>
      </w:r>
      <w:r>
        <w:t xml:space="preserve">(Smartwatch</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rldsyykjyn (Smartwatch X)</w:t>
      </w:r>
    </w:p>
    <w:p>
      <w:pPr>
        <w:pStyle w:val="BodyText"/>
      </w:pPr>
      <w:r>
        <w:rPr>
          <w:bCs/>
          <w:b/>
        </w:rPr>
        <w:t xml:space="preserve">Company:</w:t>
      </w:r>
      <w:r>
        <w:t xml:space="preserve"> </w:t>
      </w:r>
      <w:r>
        <w:t xml:space="preserve">gpoeinsllf (TechInnovate Inc.)</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vwvzlonfom (Dr. Evelyn Reed)</w:t>
      </w:r>
    </w:p>
    <w:p>
      <w:pPr>
        <w:pStyle w:val="BodyText"/>
      </w:pPr>
      <w:r>
        <w:t xml:space="preserve">This report is generated based on available data and industry standards. The calculations utilize specified parameters and assumed emission factors where primary data was unavailable. Accuracy is dependent on the quality and completeness of the input data.</w:t>
      </w:r>
    </w:p>
    <w:bookmarkEnd w:id="20"/>
    <w:bookmarkStart w:id="50" w:name="Xf4155d13f5dff1a46d6bf360a52f425e9ec7934"/>
    <w:p>
      <w:pPr>
        <w:pStyle w:val="Heading1"/>
      </w:pPr>
      <w:r>
        <w:t xml:space="preserve">Product Carbon Footprint Analysis Report for rldsyykjyn (Smartwatch X)</w:t>
      </w:r>
    </w:p>
    <w:p>
      <w:pPr>
        <w:pStyle w:val="FirstParagraph"/>
      </w:pPr>
      <w:r>
        <w:t xml:space="preserve">Generated Date: 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rldsyykjyn (Smartwatch X) manufactured by gpoeinsllf (TechInnovate Inc.), conducted by vwvzlonfom (Dr. Evelyn Reed), Senior Sustainability Consultant. The analysis adheres to the Greenhouse Gas (GHG) Protocol, categorizing emissions into Scope 1, Scope 2, and Scope 3 across the product\'s lifecycle from raw material acquisition through end-of-life. Key parameters, including a detailed Bill of Materials (BOM), transport logistics, energy consumption, and end-of-life scenarios, have been incorporated to provide a comprehensive assessment. The report identifies significant emission hotspots and offers insights for potential carbon reduction strategies within the product\'s value chain.</w:t>
      </w:r>
    </w:p>
    <w:p>
      <w:r>
        <w:pict>
          <v:rect style="width:0;height:1.5pt" o:hralign="center" o:hrstd="t" o:hr="t"/>
        </w:pict>
      </w:r>
    </w:p>
    <w:bookmarkEnd w:id="21"/>
    <w:bookmarkStart w:id="27" w:name="methodology"/>
    <w:p>
      <w:pPr>
        <w:pStyle w:val="Heading2"/>
      </w:pPr>
      <w:r>
        <w:t xml:space="preserve">1. Methodology</w:t>
      </w:r>
    </w:p>
    <w:p>
      <w:pPr>
        <w:pStyle w:val="FirstParagraph"/>
      </w:pPr>
      <w:r>
        <w:t xml:space="preserve">The Product Carbon Footprint (PCF) analysis for rldsyykjyn (Smartwatch X) followed a systematic five-step methodology, in strict accordance with the GHG Protocol. This approach ensures comprehensive coverage of greenhouse gas emissions across the product\'s lifecycle.</w:t>
      </w:r>
    </w:p>
    <w:p>
      <w:pPr>
        <w:numPr>
          <w:ilvl w:val="0"/>
          <w:numId w:val="1001"/>
        </w:numPr>
        <w:pStyle w:val="Heading3"/>
      </w:pPr>
      <w:bookmarkStart w:id="22" w:name="define-scope"/>
      <w:r>
        <w:t xml:space="preserve">Define Scope</w:t>
      </w:r>
      <w:bookmarkEnd w:id="22"/>
    </w:p>
    <w:p>
      <w:pPr>
        <w:numPr>
          <w:ilvl w:val="0"/>
          <w:numId w:val="1000"/>
        </w:numPr>
      </w:pPr>
      <w:r>
        <w:t xml:space="preserve">The functional unit was defined as 1.0 unit of rldsyykjyn (Smartwatch X). The system boundary adopted was "factory_gate", encompassing all upstream activities (raw materials, manufacturing of components), the production phase at the gpoeinsllf facility, and extending to downstream activities including transport, use, and end-of-life. The geographic scope focused on the final production country (China) with a supply chain focus on Europe. Allocation of emissions was performed based on mass and energy where applicable.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rldsyykjyn was mapped to identify all relevant stages contributing to its carbon footprint. These stages include:</w:t>
      </w:r>
    </w:p>
    <w:p>
      <w:pPr>
        <w:numPr>
          <w:ilvl w:val="1"/>
          <w:numId w:val="1002"/>
        </w:numPr>
        <w:pStyle w:val="Compact"/>
      </w:pPr>
      <w:r>
        <w:rPr>
          <w:bCs/>
          <w:b/>
        </w:rPr>
        <w:t xml:space="preserve">Raw Material Acquisition &amp; Component Manufacturing (Upstream - Scope 3, Category 1: Purchased Goods and Services):</w:t>
      </w:r>
      <w:r>
        <w:t xml:space="preserve"> </w:t>
      </w:r>
      <w:r>
        <w:t xml:space="preserve">Extraction and processing of materials and manufacturing of sub-components as per the Detailed Bill of Materials.</w:t>
      </w:r>
    </w:p>
    <w:p>
      <w:pPr>
        <w:numPr>
          <w:ilvl w:val="1"/>
          <w:numId w:val="1002"/>
        </w:numPr>
        <w:pStyle w:val="Compact"/>
      </w:pPr>
      <w:r>
        <w:rPr>
          <w:bCs/>
          <w:b/>
        </w:rPr>
        <w:t xml:space="preserve">Transportation &amp; Distribution (Upstream - Scope 3, Category 4):</w:t>
      </w:r>
      <w:r>
        <w:t xml:space="preserve"> </w:t>
      </w:r>
      <w:r>
        <w:t xml:space="preserve">Transport of raw materials and components to the gpoeinsllf production facility.</w:t>
      </w:r>
    </w:p>
    <w:p>
      <w:pPr>
        <w:numPr>
          <w:ilvl w:val="1"/>
          <w:numId w:val="1002"/>
        </w:numPr>
        <w:pStyle w:val="Compact"/>
      </w:pPr>
      <w:r>
        <w:rPr>
          <w:bCs/>
          <w:b/>
        </w:rPr>
        <w:t xml:space="preserve">Production (Operational - Scope 1 &amp; 2):</w:t>
      </w:r>
      <w:r>
        <w:t xml:space="preserve"> </w:t>
      </w:r>
      <w:r>
        <w:t xml:space="preserve">Manufacturing and assembly processes at the gpoeinsllf facility, including energy consumption.</w:t>
      </w:r>
    </w:p>
    <w:p>
      <w:pPr>
        <w:numPr>
          <w:ilvl w:val="1"/>
          <w:numId w:val="1002"/>
        </w:numPr>
        <w:pStyle w:val="Compact"/>
      </w:pPr>
      <w:r>
        <w:rPr>
          <w:bCs/>
          <w:b/>
        </w:rPr>
        <w:t xml:space="preserve">Transportation &amp; Distribution (Downstream - Scope 3, Category 4):</w:t>
      </w:r>
      <w:r>
        <w:t xml:space="preserve"> </w:t>
      </w:r>
      <w:r>
        <w:t xml:space="preserve">Transport of the finished product to the end-consumer.</w:t>
      </w:r>
    </w:p>
    <w:p>
      <w:pPr>
        <w:numPr>
          <w:ilvl w:val="1"/>
          <w:numId w:val="1002"/>
        </w:numPr>
        <w:pStyle w:val="Compact"/>
      </w:pPr>
      <w:r>
        <w:rPr>
          <w:bCs/>
          <w:b/>
        </w:rPr>
        <w:t xml:space="preserve">Use Phase (Downstream - Scope 3, Category 11: Use of Sold Products):</w:t>
      </w:r>
      <w:r>
        <w:t xml:space="preserve"> </w:t>
      </w:r>
      <w:r>
        <w:t xml:space="preserve">Energy consumption during the product\'s expected lifespan.</w:t>
      </w:r>
    </w:p>
    <w:p>
      <w:pPr>
        <w:numPr>
          <w:ilvl w:val="1"/>
          <w:numId w:val="1002"/>
        </w:numPr>
        <w:pStyle w:val="Compact"/>
      </w:pPr>
      <w:r>
        <w:rPr>
          <w:bCs/>
          <w:b/>
        </w:rPr>
        <w:t xml:space="preserve">End-of-Life (Downstream - Scope 3, Category 12: End-of-Life Treatment of Sold Products):</w:t>
      </w:r>
      <w:r>
        <w:t xml:space="preserve"> </w:t>
      </w:r>
      <w:r>
        <w:t xml:space="preserve">Disposal and recycling processes.</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Both primary and secondary data were collected for the analysis.</w:t>
      </w:r>
    </w:p>
    <w:p>
      <w:pPr>
        <w:numPr>
          <w:ilvl w:val="1"/>
          <w:numId w:val="1003"/>
        </w:numPr>
        <w:pStyle w:val="Compact"/>
      </w:pPr>
      <w:r>
        <w:rPr>
          <w:bCs/>
          <w:b/>
        </w:rPr>
        <w:t xml:space="preserve">Primary Data:</w:t>
      </w:r>
      <w:r>
        <w:t xml:space="preserve"> </w:t>
      </w:r>
      <w:r>
        <w:t xml:space="preserve">Provided specific parameters such as the Detailed Bill of Materials, transport distances, energy intensity at the production facility, renewable energy usage, product lifespan, energy consumption in use, recyclability percentage, and details of circular/take-back programs.</w:t>
      </w:r>
    </w:p>
    <w:p>
      <w:pPr>
        <w:numPr>
          <w:ilvl w:val="1"/>
          <w:numId w:val="1003"/>
        </w:numPr>
        <w:pStyle w:val="Compact"/>
      </w:pPr>
      <w:r>
        <w:rPr>
          <w:bCs/>
          <w:b/>
        </w:rPr>
        <w:t xml:space="preserve">Secondary Data:</w:t>
      </w:r>
      <w:r>
        <w:t xml:space="preserve"> </w:t>
      </w:r>
      <w:r>
        <w:t xml:space="preserve">Industry-standard emission factors were sourced from reputable databases such as Ecoinvent and DEFRA for electricity grids, transportation modes, and generic material processes where specific BOM emission factors were not applicable for a particular calculation step.</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were calculated by multiplying activity data (e.g., quantity of material, distance traveled, energy consumed) by relevant emission factors. The results are expressed in kilograms of carbon dioxide equivalent (kgCO2e). Emissions were categorized according to the GHG Protocol\'s Scope 1, Scope 2, and Scope 3 framework.</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The calculated PCF was reviewed to identify emission hotspots—stages or components with the highest carbon impact. The reliability of the data and assumptions made were also assessed and noted.</w:t>
      </w:r>
    </w:p>
    <w:p>
      <w:r>
        <w:pict>
          <v:rect style="width:0;height:1.5pt" o:hralign="center" o:hrstd="t" o:hr="t"/>
        </w:pict>
      </w:r>
    </w:p>
    <w:bookmarkEnd w:id="27"/>
    <w:bookmarkStart w:id="28" w:name="scope-definition-and-key-parameters"/>
    <w:p>
      <w:pPr>
        <w:pStyle w:val="Heading2"/>
      </w:pPr>
      <w:r>
        <w:t xml:space="preserve">2. Scope Definition and Key Parameters</w:t>
      </w:r>
    </w:p>
    <w:p>
      <w:pPr>
        <w:pStyle w:val="FirstParagraph"/>
      </w:pPr>
      <w:r>
        <w:t xml:space="preserve">This section details the specific parameters used to define the scope of the Product Carbon Footprint for rldsyykjyn (Smartwatch X).</w:t>
      </w:r>
    </w:p>
    <w:p>
      <w:pPr>
        <w:numPr>
          <w:ilvl w:val="0"/>
          <w:numId w:val="1004"/>
        </w:numPr>
        <w:pStyle w:val="Compact"/>
      </w:pPr>
      <w:r>
        <w:rPr>
          <w:bCs/>
          <w:b/>
        </w:rPr>
        <w:t xml:space="preserve">Product Name:</w:t>
      </w:r>
      <w:r>
        <w:t xml:space="preserve"> </w:t>
      </w:r>
      <w:r>
        <w:t xml:space="preserve">rldsyykjyn (Smartwatch X)</w:t>
      </w:r>
    </w:p>
    <w:p>
      <w:pPr>
        <w:numPr>
          <w:ilvl w:val="0"/>
          <w:numId w:val="1004"/>
        </w:numPr>
        <w:pStyle w:val="Compact"/>
      </w:pPr>
      <w:r>
        <w:rPr>
          <w:bCs/>
          <w:b/>
        </w:rPr>
        <w:t xml:space="preserve">Company Name:</w:t>
      </w:r>
      <w:r>
        <w:t xml:space="preserve"> </w:t>
      </w:r>
      <w:r>
        <w:t xml:space="preserve">gpoeinsllf (TechInnovate Inc.)</w:t>
      </w:r>
    </w:p>
    <w:p>
      <w:pPr>
        <w:numPr>
          <w:ilvl w:val="0"/>
          <w:numId w:val="1004"/>
        </w:numPr>
        <w:pStyle w:val="Compact"/>
      </w:pPr>
      <w:r>
        <w:rPr>
          <w:bCs/>
          <w:b/>
        </w:rPr>
        <w:t xml:space="preserve">Senior Sustainability Consultant:</w:t>
      </w:r>
      <w:r>
        <w:t xml:space="preserve"> </w:t>
      </w:r>
      <w:r>
        <w:t xml:space="preserve">vwvzlonfom (Dr. Evelyn Reed)</w:t>
      </w:r>
    </w:p>
    <w:p>
      <w:pPr>
        <w:numPr>
          <w:ilvl w:val="0"/>
          <w:numId w:val="1004"/>
        </w:numPr>
        <w:pStyle w:val="Compact"/>
      </w:pPr>
      <w:r>
        <w:rPr>
          <w:bCs/>
          <w:b/>
        </w:rPr>
        <w:t xml:space="preserve">Functional Unit:</w:t>
      </w:r>
      <w:r>
        <w:t xml:space="preserve"> </w:t>
      </w:r>
      <w:r>
        <w:t xml:space="preserve">1.0 unit of rldsyykjyn (Smartwatch X)</w:t>
      </w:r>
    </w:p>
    <w:p>
      <w:pPr>
        <w:numPr>
          <w:ilvl w:val="0"/>
          <w:numId w:val="1004"/>
        </w:numPr>
        <w:pStyle w:val="Compact"/>
      </w:pPr>
      <w:r>
        <w:rPr>
          <w:bCs/>
          <w:b/>
        </w:rPr>
        <w:t xml:space="preserve">System Boundary:</w:t>
      </w:r>
      <w:r>
        <w:t xml:space="preserve"> </w:t>
      </w:r>
      <w:r>
        <w:t xml:space="preserve">Cradle-to-grave (specifically "factory_gate" for operational, with upstream and downstream covered under Scope 3).</w:t>
      </w:r>
    </w:p>
    <w:p>
      <w:pPr>
        <w:numPr>
          <w:ilvl w:val="0"/>
          <w:numId w:val="1004"/>
        </w:numPr>
        <w:pStyle w:val="Compact"/>
      </w:pPr>
      <w:r>
        <w:rPr>
          <w:bCs/>
          <w:b/>
        </w:rPr>
        <w:t xml:space="preserve">Geographic Scope:</w:t>
      </w:r>
      <w:r>
        <w:t xml:space="preserve"> </w:t>
      </w:r>
      <w:r>
        <w:t xml:space="preserve">Final Production Country: China; Supply Chain Focus: Europe Focused (for downstream use).</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Product Lifespan:</w:t>
      </w:r>
      <w:r>
        <w:t xml:space="preserve"> </w:t>
      </w:r>
      <w:r>
        <w:t xml:space="preserve">vuvhvpdhih (3 years)</w:t>
      </w:r>
    </w:p>
    <w:p>
      <w:pPr>
        <w:pStyle w:val="FirstParagraph"/>
      </w:pPr>
      <w:r>
        <w:rPr>
          <w:bCs/>
          <w:b/>
        </w:rPr>
        <w:t xml:space="preserve">GHG Protocol Adherence:</w:t>
      </w:r>
      <w:r>
        <w:t xml:space="preserve"> </w:t>
      </w:r>
      <w:r>
        <w:t xml:space="preserve">Emissions are categorized as follows:</w:t>
      </w:r>
    </w:p>
    <w:p>
      <w:pPr>
        <w:numPr>
          <w:ilvl w:val="0"/>
          <w:numId w:val="1005"/>
        </w:numPr>
        <w:pStyle w:val="Compact"/>
      </w:pPr>
      <w:r>
        <w:rPr>
          <w:bCs/>
          <w:b/>
        </w:rPr>
        <w:t xml:space="preserve">Scope 1: Direct Emissions</w:t>
      </w:r>
      <w:r>
        <w:t xml:space="preserve"> </w:t>
      </w:r>
      <w:r>
        <w:t xml:space="preserve">– Emissions from sources owned or controlled by gpoeinsllf (e.g., direct fuel combustion in owned vehicles or facilities).</w:t>
      </w:r>
    </w:p>
    <w:p>
      <w:pPr>
        <w:numPr>
          <w:ilvl w:val="0"/>
          <w:numId w:val="1005"/>
        </w:numPr>
        <w:pStyle w:val="Compact"/>
      </w:pPr>
      <w:r>
        <w:rPr>
          <w:bCs/>
          <w:b/>
        </w:rPr>
        <w:t xml:space="preserve">Scope 2: Indirect Emissions from Purchased Energy</w:t>
      </w:r>
      <w:r>
        <w:t xml:space="preserve"> </w:t>
      </w:r>
      <w:r>
        <w:t xml:space="preserve">– Emissions from the generation of purchased electricity, heat, or steam consumed by gpoeinsllf.</w:t>
      </w:r>
    </w:p>
    <w:p>
      <w:pPr>
        <w:numPr>
          <w:ilvl w:val="0"/>
          <w:numId w:val="1005"/>
        </w:numPr>
        <w:pStyle w:val="Compact"/>
      </w:pPr>
      <w:r>
        <w:rPr>
          <w:bCs/>
          <w:b/>
        </w:rPr>
        <w:t xml:space="preserve">Scope 3: Other Indirect Emissions (Value Chain Emissions)</w:t>
      </w:r>
      <w:r>
        <w:t xml:space="preserve"> </w:t>
      </w:r>
      <w:r>
        <w:t xml:space="preserve">– All other indirect emissions occurring in the value chain, both upstream and downstream. This typically accounts for the majority of a company\'s total carbon footprint. The 2026 requirements emphasize at least 95% coverage for Scope 3 reporting.</w:t>
      </w:r>
    </w:p>
    <w:p>
      <w:pPr>
        <w:pStyle w:val="FirstParagraph"/>
      </w:pPr>
      <w:r>
        <w:rPr>
          <w:bCs/>
          <w:b/>
        </w:rPr>
        <w:t xml:space="preserve">2026 LSR Update:</w:t>
      </w:r>
      <w:r>
        <w:t xml:space="preserve"> </w:t>
      </w:r>
      <w:r>
        <w:t xml:space="preserve">The Land Sector and Removals (LSR) Standard, published on January 30, 2026, and effective from January 1, 2027, provides accounting requirements and guidance for land emissions, CO₂ removals, and technological CO₂ removals. While the full mandatory application for all reporting companies begins in 2027, this report acknowledges its relevance for future reporting, particularly for companies with significant land-based activities in their operations or value chain. Although rldsyykjyn (Smartwatch X) does not directly involve land management, the LSR Standard\'s principles may guide future assessment of indirect land use change emissions related to raw material extraction in the upstream supply chain.</w:t>
      </w:r>
    </w:p>
    <w:p>
      <w:r>
        <w:pict>
          <v:rect style="width:0;height:1.5pt" o:hralign="center" o:hrstd="t" o:hr="t"/>
        </w:pict>
      </w:r>
    </w:p>
    <w:bookmarkEnd w:id="28"/>
    <w:bookmarkStart w:id="36" w:name="Xb16d3dd7e68dda0ab1ffda3fa4248c5ad6c6f50"/>
    <w:p>
      <w:pPr>
        <w:pStyle w:val="Heading2"/>
      </w:pPr>
      <w:r>
        <w:t xml:space="preserve">3. Detailed Breakdown of Lifecycle Stages and Data Inputs</w:t>
      </w:r>
    </w:p>
    <w:p>
      <w:pPr>
        <w:pStyle w:val="FirstParagraph"/>
      </w:pPr>
      <w:r>
        <w:t xml:space="preserve">This section provides a detailed breakdown of materials and energy inputs across the product lifecycle, informing the emission calculations.</w:t>
      </w:r>
    </w:p>
    <w:bookmarkStart w:id="29" w:name="X297ccb7bd93e051d53f0aac634b259367f9af34"/>
    <w:p>
      <w:pPr>
        <w:pStyle w:val="Heading3"/>
      </w:pPr>
      <w:r>
        <w:t xml:space="preserve">3.1. Raw Material Acquisition &amp; Component Manufacturing (Scope 3 - Upstream: Purchased Goods and Services)</w:t>
      </w:r>
    </w:p>
    <w:p>
      <w:pPr>
        <w:pStyle w:val="FirstParagraph"/>
      </w:pPr>
      <w:r>
        <w:t xml:space="preserve">The following Bill of Materials (BOM) for rldsyykjyn (Smartwatch X) was provided and used for material impact calculation. The "Total Carbon" value for each item represents the pre-calculated carbon footprint of that specific material or component, from extraction to delivery at the factory 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 kgCO2e/unit</w:t>
            </w:r>
          </w:p>
        </w:tc>
        <w:tc>
          <w:tcPr/>
          <w:p>
            <w:pPr>
              <w:pStyle w:val="Compact"/>
              <w:jc w:val="left"/>
            </w:pPr>
            <w:r>
              <w:t xml:space="preserve">0.500</w:t>
            </w:r>
          </w:p>
        </w:tc>
      </w:tr>
      <w:tr>
        <w:tc>
          <w:tcPr/>
          <w:p>
            <w:pPr>
              <w:pStyle w:val="Compact"/>
              <w:jc w:val="left"/>
            </w:pPr>
            <w:r>
              <w:t xml:space="preserve">2</w:t>
            </w:r>
          </w:p>
        </w:tc>
        <w:tc>
          <w:tcPr/>
          <w:p>
            <w:pPr>
              <w:pStyle w:val="Compact"/>
              <w:jc w:val="left"/>
            </w:pPr>
            <w:r>
              <w:t xml:space="preserve">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0.125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 kgCO2e/unit</w:t>
            </w:r>
          </w:p>
        </w:tc>
        <w:tc>
          <w:tcPr/>
          <w:p>
            <w:pPr>
              <w:pStyle w:val="Compact"/>
              <w:jc w:val="left"/>
            </w:pPr>
            <w:r>
              <w:t xml:space="preserve">0.800</w:t>
            </w:r>
          </w:p>
        </w:tc>
      </w:tr>
    </w:tbl>
    <w:p>
      <w:pPr>
        <w:pStyle w:val="BodyText"/>
      </w:pPr>
      <w:r>
        <w:rPr>
          <w:bCs/>
          <w:b/>
        </w:rPr>
        <w:t xml:space="preserve">Total Upstream Material Emissions (from BOM):</w:t>
      </w:r>
      <w:r>
        <w:t xml:space="preserve"> </w:t>
      </w:r>
      <w:r>
        <w:t xml:space="preserve">1.425 kgCO2e</w:t>
      </w:r>
    </w:p>
    <w:bookmarkEnd w:id="29"/>
    <w:bookmarkStart w:id="30" w:name="production-phase-scope-1-2"/>
    <w:p>
      <w:pPr>
        <w:pStyle w:val="Heading3"/>
      </w:pPr>
      <w:r>
        <w:t xml:space="preserve">3.2. Production Phase (Scope 1 &amp; 2)</w:t>
      </w:r>
    </w:p>
    <w:p>
      <w:pPr>
        <w:pStyle w:val="FirstParagraph"/>
      </w:pPr>
      <w:r>
        <w:t xml:space="preserve">This covers the manufacturing and assembly of rldsyykjyn (Smartwatch X) at gpoeinsllf\'s facility in China.</w:t>
      </w:r>
    </w:p>
    <w:p>
      <w:pPr>
        <w:numPr>
          <w:ilvl w:val="0"/>
          <w:numId w:val="1006"/>
        </w:numPr>
        <w:pStyle w:val="Compact"/>
      </w:pPr>
      <w:r>
        <w:rPr>
          <w:bCs/>
          <w:b/>
        </w:rPr>
        <w:t xml:space="preserve">Energy Intensity (kWh/unit):</w:t>
      </w:r>
      <w:r>
        <w:t xml:space="preserve"> </w:t>
      </w:r>
      <w:r>
        <w:t xml:space="preserve">wnnoprqfhr (1.2 kWh/unit)</w:t>
      </w:r>
    </w:p>
    <w:p>
      <w:pPr>
        <w:numPr>
          <w:ilvl w:val="0"/>
          <w:numId w:val="1006"/>
        </w:numPr>
        <w:pStyle w:val="Compact"/>
      </w:pPr>
      <w:r>
        <w:rPr>
          <w:bCs/>
          <w:b/>
        </w:rPr>
        <w:t xml:space="preserve">Renewable Energy Usage:</w:t>
      </w:r>
      <w:r>
        <w:t xml:space="preserve"> </w:t>
      </w:r>
      <w:r>
        <w:t xml:space="preserve">qnuqwytifu (70%)</w:t>
      </w:r>
    </w:p>
    <w:p>
      <w:pPr>
        <w:numPr>
          <w:ilvl w:val="0"/>
          <w:numId w:val="1006"/>
        </w:numPr>
        <w:pStyle w:val="Compact"/>
      </w:pPr>
      <w:r>
        <w:rPr>
          <w:bCs/>
          <w:b/>
        </w:rPr>
        <w:t xml:space="preserve">Geographic Location (Production):</w:t>
      </w:r>
      <w:r>
        <w:t xml:space="preserve"> </w:t>
      </w:r>
      <w:r>
        <w:t xml:space="preserve">China</w:t>
      </w:r>
    </w:p>
    <w:p>
      <w:pPr>
        <w:pStyle w:val="FirstParagraph"/>
      </w:pPr>
      <w:r>
        <w:rPr>
          <w:iCs/>
          <w:i/>
        </w:rPr>
        <w:t xml:space="preserve">Assumption: No significant Scope 1 direct fuel combustion emissions are attributed to the production of this specific product for the "factory_gate" boundary; emissions are dominated by electricity consumption.</w:t>
      </w:r>
    </w:p>
    <w:bookmarkEnd w:id="30"/>
    <w:bookmarkStart w:id="33" w:name="Xb28e6b746c55ccee7c13ebe725ade644fd176e6"/>
    <w:p>
      <w:pPr>
        <w:pStyle w:val="Heading3"/>
      </w:pPr>
      <w:r>
        <w:t xml:space="preserve">3.3. Transportation &amp; Distribution (Scope 3 - Upstream &amp; Downstream)</w:t>
      </w:r>
    </w:p>
    <w:p>
      <w:pPr>
        <w:pStyle w:val="FirstParagraph"/>
      </w:pPr>
      <w:r>
        <w:t xml:space="preserve">Logistics data was incorporated into the supply chain analysis.</w:t>
      </w:r>
    </w:p>
    <w:bookmarkStart w:id="31" w:name="upstream-transport-components-to-factory"/>
    <w:p>
      <w:pPr>
        <w:pStyle w:val="Heading4"/>
      </w:pPr>
      <w:r>
        <w:t xml:space="preserve">Upstream Transport (Components to Factory)</w:t>
      </w:r>
    </w:p>
    <w:p>
      <w:pPr>
        <w:numPr>
          <w:ilvl w:val="0"/>
          <w:numId w:val="1007"/>
        </w:numPr>
        <w:pStyle w:val="Compact"/>
      </w:pPr>
      <w:r>
        <w:rPr>
          <w:bCs/>
          <w:b/>
        </w:rPr>
        <w:t xml:space="preserve">Transport Mode:</w:t>
      </w:r>
      <w:r>
        <w:t xml:space="preserve"> </w:t>
      </w:r>
      <w:r>
        <w:t xml:space="preserve">Select Mode (Road Freight - HGV &gt; 16t)</w:t>
      </w:r>
    </w:p>
    <w:p>
      <w:pPr>
        <w:numPr>
          <w:ilvl w:val="0"/>
          <w:numId w:val="1007"/>
        </w:numPr>
        <w:pStyle w:val="Compact"/>
      </w:pPr>
      <w:r>
        <w:rPr>
          <w:bCs/>
          <w:b/>
        </w:rPr>
        <w:t xml:space="preserve">Transport Distance:</w:t>
      </w:r>
      <w:r>
        <w:t xml:space="preserve"> </w:t>
      </w:r>
      <w:r>
        <w:t xml:space="preserve">kvixqrmlnq (2000 km)</w:t>
      </w:r>
    </w:p>
    <w:p>
      <w:pPr>
        <w:numPr>
          <w:ilvl w:val="0"/>
          <w:numId w:val="1007"/>
        </w:numPr>
        <w:pStyle w:val="Compact"/>
      </w:pPr>
      <w:r>
        <w:rPr>
          <w:bCs/>
          <w:b/>
        </w:rPr>
        <w:t xml:space="preserve">Product Weight for Transport:</w:t>
      </w:r>
      <w:r>
        <w:t xml:space="preserve"> </w:t>
      </w:r>
      <w:r>
        <w:t xml:space="preserve">Assumed 0.1 kg/unit (for rldsyykjyn, Smartwatch X)</w:t>
      </w:r>
    </w:p>
    <w:bookmarkEnd w:id="31"/>
    <w:bookmarkStart w:id="32" w:name="Xc72d8b254592de1bfba68c1eb0eed953ffa5bcb"/>
    <w:p>
      <w:pPr>
        <w:pStyle w:val="Heading4"/>
      </w:pPr>
      <w:r>
        <w:t xml:space="preserve">Downstream Transport (Last-Mile Delivery to Consumer)</w:t>
      </w:r>
    </w:p>
    <w:p>
      <w:pPr>
        <w:numPr>
          <w:ilvl w:val="0"/>
          <w:numId w:val="1008"/>
        </w:numPr>
        <w:pStyle w:val="Compact"/>
      </w:pPr>
      <w:r>
        <w:rPr>
          <w:bCs/>
          <w:b/>
        </w:rPr>
        <w:t xml:space="preserve">Last-Mile Delivery Channel:</w:t>
      </w:r>
      <w:r>
        <w:t xml:space="preserve"> </w:t>
      </w:r>
      <w:r>
        <w:t xml:space="preserve">Delivery Type (Light Commercial Van)</w:t>
      </w:r>
    </w:p>
    <w:p>
      <w:pPr>
        <w:numPr>
          <w:ilvl w:val="0"/>
          <w:numId w:val="1008"/>
        </w:numPr>
        <w:pStyle w:val="Compact"/>
      </w:pPr>
      <w:r>
        <w:rPr>
          <w:bCs/>
          <w:b/>
        </w:rPr>
        <w:t xml:space="preserve">Last-Mile Distance:</w:t>
      </w:r>
      <w:r>
        <w:t xml:space="preserve"> </w:t>
      </w:r>
      <w:r>
        <w:t xml:space="preserve">Assumed 50 km</w:t>
      </w:r>
    </w:p>
    <w:bookmarkEnd w:id="32"/>
    <w:bookmarkEnd w:id="33"/>
    <w:bookmarkStart w:id="34" w:name="X558ab8c88c774f349b60939d04aea7f9e47b38f"/>
    <w:p>
      <w:pPr>
        <w:pStyle w:val="Heading3"/>
      </w:pPr>
      <w:r>
        <w:t xml:space="preserve">3.4. Use Phase (Scope 3 - Downstream: Use of Sold Products)</w:t>
      </w:r>
    </w:p>
    <w:p>
      <w:pPr>
        <w:pStyle w:val="FirstParagraph"/>
      </w:pPr>
      <w:r>
        <w:t xml:space="preserve">The use phase calculation considers the product\'s lifespan and energy consumption by the end-user.</w:t>
      </w:r>
    </w:p>
    <w:p>
      <w:pPr>
        <w:numPr>
          <w:ilvl w:val="0"/>
          <w:numId w:val="1009"/>
        </w:numPr>
        <w:pStyle w:val="Compact"/>
      </w:pPr>
      <w:r>
        <w:rPr>
          <w:bCs/>
          <w:b/>
        </w:rPr>
        <w:t xml:space="preserve">Product Lifespan:</w:t>
      </w:r>
      <w:r>
        <w:t xml:space="preserve"> </w:t>
      </w:r>
      <w:r>
        <w:t xml:space="preserve">vuvhvpdhih (3 years)</w:t>
      </w:r>
    </w:p>
    <w:p>
      <w:pPr>
        <w:numPr>
          <w:ilvl w:val="0"/>
          <w:numId w:val="1009"/>
        </w:numPr>
        <w:pStyle w:val="Compact"/>
      </w:pPr>
      <w:r>
        <w:rPr>
          <w:bCs/>
          <w:b/>
        </w:rPr>
        <w:t xml:space="preserve">Energy Consumption in Use:</w:t>
      </w:r>
      <w:r>
        <w:t xml:space="preserve"> </w:t>
      </w:r>
      <w:r>
        <w:t xml:space="preserve">mnzdvurwss (0.01 kWh/day)</w:t>
      </w:r>
    </w:p>
    <w:p>
      <w:pPr>
        <w:numPr>
          <w:ilvl w:val="0"/>
          <w:numId w:val="1009"/>
        </w:numPr>
        <w:pStyle w:val="Compact"/>
      </w:pPr>
      <w:r>
        <w:rPr>
          <w:bCs/>
          <w:b/>
        </w:rPr>
        <w:t xml:space="preserve">Geographic Focus for Use:</w:t>
      </w:r>
      <w:r>
        <w:t xml:space="preserve"> </w:t>
      </w:r>
      <w:r>
        <w:t xml:space="preserve">Europe Focused (Assumed European average grid mix for end-user electricity).</w:t>
      </w:r>
    </w:p>
    <w:bookmarkEnd w:id="34"/>
    <w:bookmarkStart w:id="35" w:name="X1e3597af1efa38c925a28c7e24a84322042ba2c"/>
    <w:p>
      <w:pPr>
        <w:pStyle w:val="Heading3"/>
      </w:pPr>
      <w:r>
        <w:t xml:space="preserve">3.5. End-of-Life (EoL) (Scope 3 - Downstream: End-of-Life Treatment of Sold Products)</w:t>
      </w:r>
    </w:p>
    <w:p>
      <w:pPr>
        <w:pStyle w:val="FirstParagraph"/>
      </w:pPr>
      <w:r>
        <w:t xml:space="preserve">End-of-life scenarios reflect circular economy impacts.</w:t>
      </w:r>
    </w:p>
    <w:p>
      <w:pPr>
        <w:numPr>
          <w:ilvl w:val="0"/>
          <w:numId w:val="1010"/>
        </w:numPr>
        <w:pStyle w:val="Compact"/>
      </w:pPr>
      <w:r>
        <w:rPr>
          <w:bCs/>
          <w:b/>
        </w:rPr>
        <w:t xml:space="preserve">Recyclability Percentage:</w:t>
      </w:r>
      <w:r>
        <w:t xml:space="preserve"> </w:t>
      </w:r>
      <w:r>
        <w:t xml:space="preserve">zuifrxppnh (85%)</w:t>
      </w:r>
    </w:p>
    <w:p>
      <w:pPr>
        <w:numPr>
          <w:ilvl w:val="0"/>
          <w:numId w:val="1010"/>
        </w:numPr>
        <w:pStyle w:val="Compact"/>
      </w:pPr>
      <w:r>
        <w:rPr>
          <w:bCs/>
          <w:b/>
        </w:rPr>
        <w:t xml:space="preserve">Circular/Take-back Programs:</w:t>
      </w:r>
      <w:r>
        <w:t xml:space="preserve"> </w:t>
      </w:r>
      <w:r>
        <w:t xml:space="preserve">ldgedoddgk (Yes, Product Take-back Program)</w:t>
      </w:r>
    </w:p>
    <w:p>
      <w:r>
        <w:pict>
          <v:rect style="width:0;height:1.5pt" o:hralign="center" o:hrstd="t" o:hr="t"/>
        </w:pict>
      </w:r>
    </w:p>
    <w:bookmarkEnd w:id="35"/>
    <w:bookmarkEnd w:id="36"/>
    <w:bookmarkStart w:id="46" w:name="Xd857df668eaf57a3a4d79443063d4f04a191195"/>
    <w:p>
      <w:pPr>
        <w:pStyle w:val="Heading2"/>
      </w:pPr>
      <w:r>
        <w:t xml:space="preserve">4. Emission Calculation and Hotspot Analysis</w:t>
      </w:r>
    </w:p>
    <w:p>
      <w:pPr>
        <w:pStyle w:val="FirstParagraph"/>
      </w:pPr>
      <w:r>
        <w:t xml:space="preserve">This section details the calculation of emissions per lifecycle stage, categorized by GHG Protocol Scopes. Industry-standard emission factors from sources like Ecoinvent and DEFRA have been applied.</w:t>
      </w:r>
    </w:p>
    <w:bookmarkStart w:id="37" w:name="X4f98f75b8b25f5b4851c2557904e50a806f5a01"/>
    <w:p>
      <w:pPr>
        <w:pStyle w:val="Heading3"/>
      </w:pPr>
      <w:r>
        <w:t xml:space="preserve">4.1. Emission Factors Used (Assumed for Calculation)</w:t>
      </w:r>
    </w:p>
    <w:p>
      <w:pPr>
        <w:numPr>
          <w:ilvl w:val="0"/>
          <w:numId w:val="1011"/>
        </w:numPr>
        <w:pStyle w:val="Compact"/>
      </w:pPr>
      <w:r>
        <w:rPr>
          <w:bCs/>
          <w:b/>
        </w:rPr>
        <w:t xml:space="preserve">Electricity Grid Factor (China):</w:t>
      </w:r>
      <w:r>
        <w:t xml:space="preserve"> </w:t>
      </w:r>
      <w:r>
        <w:t xml:space="preserve">0.6205 kgCO2e/kWh (National average for 2023).</w:t>
      </w:r>
    </w:p>
    <w:p>
      <w:pPr>
        <w:numPr>
          <w:ilvl w:val="0"/>
          <w:numId w:val="1011"/>
        </w:numPr>
        <w:pStyle w:val="Compact"/>
      </w:pPr>
      <w:r>
        <w:rPr>
          <w:bCs/>
          <w:b/>
        </w:rPr>
        <w:t xml:space="preserve">Electricity Grid Factor (European Average for Use Phase):</w:t>
      </w:r>
      <w:r>
        <w:t xml:space="preserve"> </w:t>
      </w:r>
      <w:r>
        <w:t xml:space="preserve">0.25 kgCO2e/kWh (Representative average).</w:t>
      </w:r>
    </w:p>
    <w:p>
      <w:pPr>
        <w:numPr>
          <w:ilvl w:val="0"/>
          <w:numId w:val="1011"/>
        </w:numPr>
        <w:pStyle w:val="Compact"/>
      </w:pPr>
      <w:r>
        <w:rPr>
          <w:bCs/>
          <w:b/>
        </w:rPr>
        <w:t xml:space="preserve">Road Freight (HGV &gt; 16t):</w:t>
      </w:r>
      <w:r>
        <w:t xml:space="preserve"> </w:t>
      </w:r>
      <w:r>
        <w:t xml:space="preserve">0.0673 kgCO2e/tonne-km (DEFRA 2024, diesel, 100% laden).</w:t>
      </w:r>
    </w:p>
    <w:p>
      <w:pPr>
        <w:numPr>
          <w:ilvl w:val="0"/>
          <w:numId w:val="1011"/>
        </w:numPr>
        <w:pStyle w:val="Compact"/>
      </w:pPr>
      <w:r>
        <w:rPr>
          <w:bCs/>
          <w:b/>
        </w:rPr>
        <w:t xml:space="preserve">Light Commercial Van (Last-Mile Delivery):</w:t>
      </w:r>
      <w:r>
        <w:t xml:space="preserve"> </w:t>
      </w:r>
      <w:r>
        <w:t xml:space="preserve">0.3 kgCO2e/vehicle-km (DEFRA, for a typical van).</w:t>
      </w:r>
      <w:r>
        <w:br/>
      </w:r>
      <w:r>
        <w:rPr>
          <w:iCs/>
          <w:i/>
        </w:rPr>
        <w:t xml:space="preserve">For PCF allocation, we assume that a typical last-mile van trip of 50 km delivering 100 parcels would result in emissions of (0.3 kgCO2e/km * 50 km) / 100 parcels = 0.15 kgCO2e per unit.</w:t>
      </w:r>
    </w:p>
    <w:p>
      <w:pPr>
        <w:numPr>
          <w:ilvl w:val="0"/>
          <w:numId w:val="1011"/>
        </w:numPr>
        <w:pStyle w:val="Compact"/>
      </w:pPr>
      <w:r>
        <w:rPr>
          <w:bCs/>
          <w:b/>
        </w:rPr>
        <w:t xml:space="preserve">End-of-Life Recycling Credit (Small Electronics):</w:t>
      </w:r>
      <w:r>
        <w:t xml:space="preserve"> </w:t>
      </w:r>
      <w:r>
        <w:t xml:space="preserve">-0.5 kgCO2e/unit (Assumed avoided emissions for 100% recycling, reflecting reduced primary manufacturing, then prorated by recyclability percentage).</w:t>
      </w:r>
    </w:p>
    <w:bookmarkEnd w:id="37"/>
    <w:bookmarkStart w:id="43" w:name="ghg-emission-calculations-by-scope"/>
    <w:p>
      <w:pPr>
        <w:pStyle w:val="Heading3"/>
      </w:pPr>
      <w:r>
        <w:t xml:space="preserve">4.2. GHG Emission Calculations by Scope</w:t>
      </w:r>
    </w:p>
    <w:p>
      <w:pPr>
        <w:pStyle w:val="FirstParagraph"/>
      </w:pPr>
      <w:r>
        <w:t xml:space="preserve">All calculations are presented per functional unit (1.0 unit of rldsyykjyn).</w:t>
      </w:r>
    </w:p>
    <w:bookmarkStart w:id="38" w:name="scope-1-direct-emissions-negligible"/>
    <w:p>
      <w:pPr>
        <w:pStyle w:val="Heading4"/>
      </w:pPr>
      <w:r>
        <w:t xml:space="preserve">Scope 1: Direct Emissions (Negligible)</w:t>
      </w:r>
    </w:p>
    <w:p>
      <w:pPr>
        <w:pStyle w:val="FirstParagraph"/>
      </w:pPr>
      <w:r>
        <w:t xml:space="preserve">Based on the "factory_gate" system boundary and the nature of the product, direct emissions from owned or controlled sources (e.g., on-site fuel combustion) are assumed to be negligible for the production of a single unit of rldsyykjyn. Any such emissions would typically be aggregated at a corporate level.</w:t>
      </w:r>
    </w:p>
    <w:p>
      <w:pPr>
        <w:pStyle w:val="BodyText"/>
      </w:pPr>
      <w:r>
        <w:rPr>
          <w:bCs/>
          <w:b/>
        </w:rPr>
        <w:t xml:space="preserve">Scope 1 Emissions: 0.000 kgCO2e</w:t>
      </w:r>
    </w:p>
    <w:bookmarkEnd w:id="38"/>
    <w:bookmarkStart w:id="39" w:name="X1b148881cd9a6a3887d7cbc67298d0d2fc1c88b"/>
    <w:p>
      <w:pPr>
        <w:pStyle w:val="Heading4"/>
      </w:pPr>
      <w:r>
        <w:t xml:space="preserve">Scope 2: Indirect Emissions from Purchased Electricity (Production Phase)</w:t>
      </w:r>
    </w:p>
    <w:p>
      <w:pPr>
        <w:numPr>
          <w:ilvl w:val="0"/>
          <w:numId w:val="1012"/>
        </w:numPr>
        <w:pStyle w:val="Compact"/>
      </w:pPr>
      <w:r>
        <w:t xml:space="preserve">Energy Intensity: 1.2 kWh/unit</w:t>
      </w:r>
    </w:p>
    <w:p>
      <w:pPr>
        <w:numPr>
          <w:ilvl w:val="0"/>
          <w:numId w:val="1012"/>
        </w:numPr>
        <w:pStyle w:val="Compact"/>
      </w:pPr>
      <w:r>
        <w:t xml:space="preserve">Renewable Energy Usage: 70%</w:t>
      </w:r>
    </w:p>
    <w:p>
      <w:pPr>
        <w:numPr>
          <w:ilvl w:val="0"/>
          <w:numId w:val="1012"/>
        </w:numPr>
        <w:pStyle w:val="Compact"/>
      </w:pPr>
      <w:r>
        <w:t xml:space="preserve">Non-renewable electricity portion: 1.2 kWh/unit * (1 - 0.70) = 0.36 kWh/unit</w:t>
      </w:r>
    </w:p>
    <w:p>
      <w:pPr>
        <w:numPr>
          <w:ilvl w:val="0"/>
          <w:numId w:val="1012"/>
        </w:numPr>
        <w:pStyle w:val="Compact"/>
      </w:pPr>
      <w:r>
        <w:t xml:space="preserve">China Grid Emission Factor: 0.6205 kgCO2e/kWh</w:t>
      </w:r>
    </w:p>
    <w:p>
      <w:pPr>
        <w:pStyle w:val="FirstParagraph"/>
      </w:pPr>
      <w:r>
        <w:rPr>
          <w:bCs/>
          <w:b/>
        </w:rPr>
        <w:t xml:space="preserve">Calculation:</w:t>
      </w:r>
      <w:r>
        <w:t xml:space="preserve"> </w:t>
      </w:r>
      <w:r>
        <w:t xml:space="preserve">0.36 kWh/unit × 0.6205 kgCO2e/kWh = 0.223 kgCO2e</w:t>
      </w:r>
    </w:p>
    <w:p>
      <w:pPr>
        <w:pStyle w:val="BodyText"/>
      </w:pPr>
      <w:r>
        <w:rPr>
          <w:bCs/>
          <w:b/>
        </w:rPr>
        <w:t xml:space="preserve">Scope 2 Emissions: 0.223 kgCO2e</w:t>
      </w:r>
    </w:p>
    <w:bookmarkEnd w:id="39"/>
    <w:bookmarkStart w:id="42" w:name="Xd1c2b652bc5876514f180a21f002993b8de8e83"/>
    <w:p>
      <w:pPr>
        <w:pStyle w:val="Heading4"/>
      </w:pPr>
      <w:r>
        <w:t xml:space="preserve">Scope 3: Other Indirect Emissions (Value Chain)</w:t>
      </w:r>
    </w:p>
    <w:bookmarkStart w:id="40" w:name="upstream-emissions"/>
    <w:p>
      <w:pPr>
        <w:pStyle w:val="Heading5"/>
      </w:pPr>
      <w:r>
        <w:t xml:space="preserve">Upstream Emissions</w:t>
      </w:r>
    </w:p>
    <w:p>
      <w:pPr>
        <w:numPr>
          <w:ilvl w:val="0"/>
          <w:numId w:val="1013"/>
        </w:numPr>
        <w:pStyle w:val="Compact"/>
      </w:pPr>
      <w:r>
        <w:rPr>
          <w:bCs/>
          <w:b/>
        </w:rPr>
        <w:t xml:space="preserve">Category 1: Purchased Goods and Services (Materials)</w:t>
      </w:r>
    </w:p>
    <w:p>
      <w:pPr>
        <w:numPr>
          <w:ilvl w:val="1"/>
          <w:numId w:val="1014"/>
        </w:numPr>
        <w:pStyle w:val="Compact"/>
      </w:pPr>
      <w:r>
        <w:t xml:space="preserve">Total Carbon from Detailed BOM: 1.425 kgCO2e (sum of Total Carbon from Main Board, Casing, and Battery).</w:t>
      </w:r>
    </w:p>
    <w:p>
      <w:pPr>
        <w:numPr>
          <w:ilvl w:val="0"/>
          <w:numId w:val="1013"/>
        </w:numPr>
        <w:pStyle w:val="Compact"/>
      </w:pPr>
      <w:r>
        <w:rPr>
          <w:bCs/>
          <w:b/>
        </w:rPr>
        <w:t xml:space="preserve">Category 4: Upstream Transportation and Distribution</w:t>
      </w:r>
    </w:p>
    <w:p>
      <w:pPr>
        <w:numPr>
          <w:ilvl w:val="1"/>
          <w:numId w:val="1015"/>
        </w:numPr>
        <w:pStyle w:val="Compact"/>
      </w:pPr>
      <w:r>
        <w:t xml:space="preserve">Product Mass: 0.1 kg/unit = 0.0001 tonne/unit</w:t>
      </w:r>
    </w:p>
    <w:p>
      <w:pPr>
        <w:numPr>
          <w:ilvl w:val="1"/>
          <w:numId w:val="1015"/>
        </w:numPr>
        <w:pStyle w:val="Compact"/>
      </w:pPr>
      <w:r>
        <w:t xml:space="preserve">Distance: 2000 km</w:t>
      </w:r>
    </w:p>
    <w:p>
      <w:pPr>
        <w:numPr>
          <w:ilvl w:val="1"/>
          <w:numId w:val="1015"/>
        </w:numPr>
        <w:pStyle w:val="Compact"/>
      </w:pPr>
      <w:r>
        <w:t xml:space="preserve">Mode Factor: 0.0673 kgCO2e/tonne-km</w:t>
      </w:r>
    </w:p>
    <w:p>
      <w:pPr>
        <w:numPr>
          <w:ilvl w:val="1"/>
          <w:numId w:val="1015"/>
        </w:numPr>
        <w:pStyle w:val="Compact"/>
      </w:pPr>
      <w:r>
        <w:rPr>
          <w:bCs/>
          <w:b/>
        </w:rPr>
        <w:t xml:space="preserve">Calculation:</w:t>
      </w:r>
      <w:r>
        <w:t xml:space="preserve"> </w:t>
      </w:r>
      <w:r>
        <w:t xml:space="preserve">0.0001 tonne/unit × 2000 km × 0.0673 kgCO2e/tonne-km = 0.013 kgCO2e</w:t>
      </w:r>
    </w:p>
    <w:p>
      <w:pPr>
        <w:pStyle w:val="FirstParagraph"/>
      </w:pPr>
      <w:r>
        <w:rPr>
          <w:bCs/>
          <w:b/>
        </w:rPr>
        <w:t xml:space="preserve">Total Scope 3 Upstream Emissions: 1.425 kgCO2e + 0.013 kgCO2e = 1.438 kgCO2e</w:t>
      </w:r>
    </w:p>
    <w:bookmarkEnd w:id="40"/>
    <w:bookmarkStart w:id="41" w:name="downstream-emissions"/>
    <w:p>
      <w:pPr>
        <w:pStyle w:val="Heading5"/>
      </w:pPr>
      <w:r>
        <w:t xml:space="preserve">Downstream Emissions</w:t>
      </w:r>
    </w:p>
    <w:p>
      <w:pPr>
        <w:numPr>
          <w:ilvl w:val="0"/>
          <w:numId w:val="1016"/>
        </w:numPr>
        <w:pStyle w:val="Compact"/>
      </w:pPr>
      <w:r>
        <w:rPr>
          <w:bCs/>
          <w:b/>
        </w:rPr>
        <w:t xml:space="preserve">Category 4: Downstream Transportation and Distribution (Last-Mile Delivery)</w:t>
      </w:r>
    </w:p>
    <w:p>
      <w:pPr>
        <w:numPr>
          <w:ilvl w:val="1"/>
          <w:numId w:val="1017"/>
        </w:numPr>
        <w:pStyle w:val="Compact"/>
      </w:pPr>
      <w:r>
        <w:t xml:space="preserve">Last-Mile Distance: 50 km</w:t>
      </w:r>
    </w:p>
    <w:p>
      <w:pPr>
        <w:numPr>
          <w:ilvl w:val="1"/>
          <w:numId w:val="1017"/>
        </w:numPr>
        <w:pStyle w:val="Compact"/>
      </w:pPr>
      <w:r>
        <w:t xml:space="preserve">Assumed per-unit factor for Light Commercial Van: 0.15 kgCO2e/unit (based on 0.3 kgCO2e/vehicle-km for 50km van trip delivering 100 parcels).</w:t>
      </w:r>
    </w:p>
    <w:p>
      <w:pPr>
        <w:numPr>
          <w:ilvl w:val="1"/>
          <w:numId w:val="1017"/>
        </w:numPr>
        <w:pStyle w:val="Compact"/>
      </w:pPr>
      <w:r>
        <w:rPr>
          <w:bCs/>
          <w:b/>
        </w:rPr>
        <w:t xml:space="preserve">Calculation:</w:t>
      </w:r>
      <w:r>
        <w:t xml:space="preserve"> </w:t>
      </w:r>
      <w:r>
        <w:t xml:space="preserve">0.15 kgCO2e/unit</w:t>
      </w:r>
    </w:p>
    <w:p>
      <w:pPr>
        <w:numPr>
          <w:ilvl w:val="0"/>
          <w:numId w:val="1016"/>
        </w:numPr>
        <w:pStyle w:val="Compact"/>
      </w:pPr>
      <w:r>
        <w:rPr>
          <w:bCs/>
          <w:b/>
        </w:rPr>
        <w:t xml:space="preserve">Category 11: Use of Sold Products</w:t>
      </w:r>
    </w:p>
    <w:p>
      <w:pPr>
        <w:numPr>
          <w:ilvl w:val="1"/>
          <w:numId w:val="1018"/>
        </w:numPr>
        <w:pStyle w:val="Compact"/>
      </w:pPr>
      <w:r>
        <w:t xml:space="preserve">Product Lifespan: 3 years = 1095 days</w:t>
      </w:r>
    </w:p>
    <w:p>
      <w:pPr>
        <w:numPr>
          <w:ilvl w:val="1"/>
          <w:numId w:val="1018"/>
        </w:numPr>
        <w:pStyle w:val="Compact"/>
      </w:pPr>
      <w:r>
        <w:t xml:space="preserve">Energy Consumption in Use: 0.01 kWh/day</w:t>
      </w:r>
    </w:p>
    <w:p>
      <w:pPr>
        <w:numPr>
          <w:ilvl w:val="1"/>
          <w:numId w:val="1018"/>
        </w:numPr>
        <w:pStyle w:val="Compact"/>
      </w:pPr>
      <w:r>
        <w:t xml:space="preserve">Total Use Phase Energy: 0.01 kWh/day × 1095 days = 10.95 kWh/unit</w:t>
      </w:r>
    </w:p>
    <w:p>
      <w:pPr>
        <w:numPr>
          <w:ilvl w:val="1"/>
          <w:numId w:val="1018"/>
        </w:numPr>
        <w:pStyle w:val="Compact"/>
      </w:pPr>
      <w:r>
        <w:t xml:space="preserve">European Average Grid Factor: 0.25 kgCO2e/kWh</w:t>
      </w:r>
    </w:p>
    <w:p>
      <w:pPr>
        <w:numPr>
          <w:ilvl w:val="1"/>
          <w:numId w:val="1018"/>
        </w:numPr>
        <w:pStyle w:val="Compact"/>
      </w:pPr>
      <w:r>
        <w:rPr>
          <w:bCs/>
          <w:b/>
        </w:rPr>
        <w:t xml:space="preserve">Calculation:</w:t>
      </w:r>
      <w:r>
        <w:t xml:space="preserve"> </w:t>
      </w:r>
      <w:r>
        <w:t xml:space="preserve">10.95 kWh/unit × 0.25 kgCO2e/kWh = 2.738 kgCO2e</w:t>
      </w:r>
    </w:p>
    <w:p>
      <w:pPr>
        <w:numPr>
          <w:ilvl w:val="0"/>
          <w:numId w:val="1016"/>
        </w:numPr>
        <w:pStyle w:val="Compact"/>
      </w:pPr>
      <w:r>
        <w:rPr>
          <w:bCs/>
          <w:b/>
        </w:rPr>
        <w:t xml:space="preserve">Category 12: End-of-Life Treatment of Sold Products</w:t>
      </w:r>
    </w:p>
    <w:p>
      <w:pPr>
        <w:numPr>
          <w:ilvl w:val="1"/>
          <w:numId w:val="1019"/>
        </w:numPr>
        <w:pStyle w:val="Compact"/>
      </w:pPr>
      <w:r>
        <w:t xml:space="preserve">Recyclability Percentage: 85%</w:t>
      </w:r>
    </w:p>
    <w:p>
      <w:pPr>
        <w:numPr>
          <w:ilvl w:val="1"/>
          <w:numId w:val="1019"/>
        </w:numPr>
        <w:pStyle w:val="Compact"/>
      </w:pPr>
      <w:r>
        <w:t xml:space="preserve">Assumed 100% Recycling Credit: -0.5 kgCO2e/unit</w:t>
      </w:r>
    </w:p>
    <w:p>
      <w:pPr>
        <w:numPr>
          <w:ilvl w:val="1"/>
          <w:numId w:val="1019"/>
        </w:numPr>
        <w:pStyle w:val="Compact"/>
      </w:pPr>
      <w:r>
        <w:rPr>
          <w:bCs/>
          <w:b/>
        </w:rPr>
        <w:t xml:space="preserve">Calculation:</w:t>
      </w:r>
      <w:r>
        <w:t xml:space="preserve"> </w:t>
      </w:r>
      <w:r>
        <w:t xml:space="preserve">0.85 × -0.5 kgCO2e/unit = -0.425 kgCO2e (Credit)</w:t>
      </w:r>
    </w:p>
    <w:p>
      <w:pPr>
        <w:pStyle w:val="FirstParagraph"/>
      </w:pPr>
      <w:r>
        <w:rPr>
          <w:bCs/>
          <w:b/>
        </w:rPr>
        <w:t xml:space="preserve">Total Scope 3 Downstream Emissions: 0.150 kgCO2e + 2.738 kgCO2e - 0.425 kgCO2e = 2.463 kgCO2e</w:t>
      </w:r>
    </w:p>
    <w:bookmarkEnd w:id="41"/>
    <w:bookmarkEnd w:id="42"/>
    <w:bookmarkEnd w:id="43"/>
    <w:bookmarkStart w:id="44" w:name="X2820b6fa89fc269effaf49c4e42c13bda0c3bdf"/>
    <w:p>
      <w:pPr>
        <w:pStyle w:val="Heading3"/>
      </w:pPr>
      <w:r>
        <w:t xml:space="preserve">4.3. Summary of Product Carbon Footprint (PCF) for rldsyykjyn (Smartwatch 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0.223</w:t>
            </w:r>
          </w:p>
        </w:tc>
        <w:tc>
          <w:tcPr/>
          <w:p>
            <w:pPr>
              <w:pStyle w:val="Compact"/>
              <w:jc w:val="left"/>
            </w:pPr>
            <w:r>
              <w:t xml:space="preserve">4.97%</w:t>
            </w:r>
          </w:p>
        </w:tc>
      </w:tr>
      <w:tr>
        <w:tc>
          <w:tcPr>
            <w:gridSpan w:val="3"/>
          </w:tcPr>
          <w:p>
            <w:pPr>
              <w:pStyle w:val="Compact"/>
              <w:jc w:val="left"/>
            </w:pPr>
            <w:r>
              <w:rPr>
                <w:bCs/>
                <w:b/>
              </w:rPr>
              <w:t xml:space="preserve">Scope 3: Value Chain Emissions</w:t>
            </w:r>
          </w:p>
        </w:tc>
      </w:tr>
      <w:tr>
        <w:tc>
          <w:tcPr/>
          <w:p>
            <w:pPr>
              <w:pStyle w:val="Compact"/>
              <w:jc w:val="left"/>
            </w:pPr>
            <w:r>
              <w:t xml:space="preserve">    Upstream: Purchased Goods and Services (Materials)</w:t>
            </w:r>
          </w:p>
        </w:tc>
        <w:tc>
          <w:tcPr/>
          <w:p>
            <w:pPr>
              <w:pStyle w:val="Compact"/>
              <w:jc w:val="left"/>
            </w:pPr>
            <w:r>
              <w:t xml:space="preserve">1.425</w:t>
            </w:r>
          </w:p>
        </w:tc>
        <w:tc>
          <w:tcPr/>
          <w:p>
            <w:pPr>
              <w:pStyle w:val="Compact"/>
              <w:jc w:val="left"/>
            </w:pPr>
            <w:r>
              <w:t xml:space="preserve">31.75%</w:t>
            </w:r>
          </w:p>
        </w:tc>
      </w:tr>
      <w:tr>
        <w:tc>
          <w:tcPr/>
          <w:p>
            <w:pPr>
              <w:pStyle w:val="Compact"/>
              <w:jc w:val="left"/>
            </w:pPr>
            <w:r>
              <w:t xml:space="preserve">    Upstream: Transportation and Distribution</w:t>
            </w:r>
          </w:p>
        </w:tc>
        <w:tc>
          <w:tcPr/>
          <w:p>
            <w:pPr>
              <w:pStyle w:val="Compact"/>
              <w:jc w:val="left"/>
            </w:pPr>
            <w:r>
              <w:t xml:space="preserve">0.013</w:t>
            </w:r>
          </w:p>
        </w:tc>
        <w:tc>
          <w:tcPr/>
          <w:p>
            <w:pPr>
              <w:pStyle w:val="Compact"/>
              <w:jc w:val="left"/>
            </w:pPr>
            <w:r>
              <w:t xml:space="preserve">0.29%</w:t>
            </w:r>
          </w:p>
        </w:tc>
      </w:tr>
      <w:tr>
        <w:tc>
          <w:tcPr/>
          <w:p>
            <w:pPr>
              <w:pStyle w:val="Compact"/>
              <w:jc w:val="left"/>
            </w:pPr>
            <w:r>
              <w:t xml:space="preserve">    Downstream: Transportation and Distribution (Last-Mile)</w:t>
            </w:r>
          </w:p>
        </w:tc>
        <w:tc>
          <w:tcPr/>
          <w:p>
            <w:pPr>
              <w:pStyle w:val="Compact"/>
              <w:jc w:val="left"/>
            </w:pPr>
            <w:r>
              <w:t xml:space="preserve">0.150</w:t>
            </w:r>
          </w:p>
        </w:tc>
        <w:tc>
          <w:tcPr/>
          <w:p>
            <w:pPr>
              <w:pStyle w:val="Compact"/>
              <w:jc w:val="left"/>
            </w:pPr>
            <w:r>
              <w:t xml:space="preserve">3.34%</w:t>
            </w:r>
          </w:p>
        </w:tc>
      </w:tr>
      <w:tr>
        <w:tc>
          <w:tcPr/>
          <w:p>
            <w:pPr>
              <w:pStyle w:val="Compact"/>
              <w:jc w:val="left"/>
            </w:pPr>
            <w:r>
              <w:t xml:space="preserve">    Downstream: Use of Sold Products</w:t>
            </w:r>
          </w:p>
        </w:tc>
        <w:tc>
          <w:tcPr/>
          <w:p>
            <w:pPr>
              <w:pStyle w:val="Compact"/>
              <w:jc w:val="left"/>
            </w:pPr>
            <w:r>
              <w:t xml:space="preserve">2.738</w:t>
            </w:r>
          </w:p>
        </w:tc>
        <w:tc>
          <w:tcPr/>
          <w:p>
            <w:pPr>
              <w:pStyle w:val="Compact"/>
              <w:jc w:val="left"/>
            </w:pPr>
            <w:r>
              <w:t xml:space="preserve">61.02%</w:t>
            </w:r>
          </w:p>
        </w:tc>
      </w:tr>
      <w:tr>
        <w:tc>
          <w:tcPr/>
          <w:p>
            <w:pPr>
              <w:pStyle w:val="Compact"/>
              <w:jc w:val="left"/>
            </w:pPr>
            <w:r>
              <w:t xml:space="preserve">    Downstream: End-of-Life Treatment of Sold Products (Credit)</w:t>
            </w:r>
          </w:p>
        </w:tc>
        <w:tc>
          <w:tcPr/>
          <w:p>
            <w:pPr>
              <w:pStyle w:val="Compact"/>
              <w:jc w:val="left"/>
            </w:pPr>
            <w:r>
              <w:t xml:space="preserve">-0.425</w:t>
            </w:r>
          </w:p>
        </w:tc>
        <w:tc>
          <w:tcPr/>
          <w:p>
            <w:pPr>
              <w:pStyle w:val="Compact"/>
              <w:jc w:val="left"/>
            </w:pPr>
            <w:r>
              <w:t xml:space="preserve">-9.47%</w:t>
            </w:r>
          </w:p>
        </w:tc>
      </w:tr>
      <w:tr>
        <w:tc>
          <w:tcPr/>
          <w:p>
            <w:pPr>
              <w:pStyle w:val="Compact"/>
              <w:jc w:val="left"/>
            </w:pPr>
            <w:r>
              <w:t xml:space="preserve">TOTAL PRODUCT CARBON FOOTPRINT (PCF)</w:t>
            </w:r>
          </w:p>
        </w:tc>
        <w:tc>
          <w:tcPr/>
          <w:p>
            <w:pPr>
              <w:pStyle w:val="Compact"/>
              <w:jc w:val="left"/>
            </w:pPr>
            <w:r>
              <w:t xml:space="preserve">4.124</w:t>
            </w:r>
          </w:p>
        </w:tc>
        <w:tc>
          <w:tcPr/>
          <w:p>
            <w:pPr>
              <w:pStyle w:val="Compact"/>
              <w:jc w:val="left"/>
            </w:pPr>
            <w:r>
              <w:t xml:space="preserve">100.00%</w:t>
            </w:r>
          </w:p>
        </w:tc>
      </w:tr>
    </w:tbl>
    <w:bookmarkEnd w:id="44"/>
    <w:bookmarkStart w:id="45" w:name="hotspot-analysis"/>
    <w:p>
      <w:pPr>
        <w:pStyle w:val="Heading3"/>
      </w:pPr>
      <w:r>
        <w:t xml:space="preserve">4.4. Hotspot Analysis</w:t>
      </w:r>
    </w:p>
    <w:p>
      <w:pPr>
        <w:pStyle w:val="FirstParagraph"/>
      </w:pPr>
      <w:r>
        <w:t xml:space="preserve">The Product Carbon Footprint for rldsyykjyn (Smartwatch X) reveals the following emission hotspots:</w:t>
      </w:r>
    </w:p>
    <w:p>
      <w:pPr>
        <w:numPr>
          <w:ilvl w:val="0"/>
          <w:numId w:val="1020"/>
        </w:numPr>
        <w:pStyle w:val="Compact"/>
      </w:pPr>
      <w:r>
        <w:rPr>
          <w:bCs/>
          <w:b/>
        </w:rPr>
        <w:t xml:space="preserve">Use Phase (61.02%):</w:t>
      </w:r>
      <w:r>
        <w:t xml:space="preserve"> </w:t>
      </w:r>
      <w:r>
        <w:t xml:space="preserve">This is the dominant contributor to the total PCF. The energy consumption over the product\'s 3-year lifespan, assuming a typical European grid mix, far outweighs other stages. This highlights the critical importance of product energy efficiency and the carbon intensity of the electricity grid where the product is used.</w:t>
      </w:r>
    </w:p>
    <w:p>
      <w:pPr>
        <w:numPr>
          <w:ilvl w:val="0"/>
          <w:numId w:val="1020"/>
        </w:numPr>
        <w:pStyle w:val="Compact"/>
      </w:pPr>
      <w:r>
        <w:rPr>
          <w:bCs/>
          <w:b/>
        </w:rPr>
        <w:t xml:space="preserve">Purchased Goods and Services (Materials) (31.75%):</w:t>
      </w:r>
      <w:r>
        <w:t xml:space="preserve"> </w:t>
      </w:r>
      <w:r>
        <w:t xml:space="preserve">The materials and components, particularly the Main Board and Battery, represent a significant portion of upstream emissions. This underscores the importance of sustainable sourcing and design for material efficiency.</w:t>
      </w:r>
    </w:p>
    <w:p>
      <w:pPr>
        <w:numPr>
          <w:ilvl w:val="0"/>
          <w:numId w:val="1020"/>
        </w:numPr>
        <w:pStyle w:val="Compact"/>
      </w:pPr>
      <w:r>
        <w:rPr>
          <w:bCs/>
          <w:b/>
        </w:rPr>
        <w:t xml:space="preserve">End-of-Life (EoL) (Credit, -9.47%):</w:t>
      </w:r>
      <w:r>
        <w:t xml:space="preserve"> </w:t>
      </w:r>
      <w:r>
        <w:t xml:space="preserve">The high recyclability and presence of take-back programs provide a substantial credit, demonstrating the positive impact of circular economy initiatives.</w:t>
      </w:r>
    </w:p>
    <w:p>
      <w:pPr>
        <w:numPr>
          <w:ilvl w:val="0"/>
          <w:numId w:val="1020"/>
        </w:numPr>
        <w:pStyle w:val="Compact"/>
      </w:pPr>
      <w:r>
        <w:rPr>
          <w:bCs/>
          <w:b/>
        </w:rPr>
        <w:t xml:space="preserve">Transportation (Upstream &amp; Downstream) (3.63% combined):</w:t>
      </w:r>
      <w:r>
        <w:t xml:space="preserve"> </w:t>
      </w:r>
      <w:r>
        <w:t xml:space="preserve">While significant in distance, the per-unit emissions for transportation are relatively lower due to the small size and weight of the product, and efficiencies of bulk freight. However, optimizing logistics remains important.</w:t>
      </w:r>
    </w:p>
    <w:p>
      <w:pPr>
        <w:numPr>
          <w:ilvl w:val="0"/>
          <w:numId w:val="1020"/>
        </w:numPr>
        <w:pStyle w:val="Compact"/>
      </w:pPr>
      <w:r>
        <w:rPr>
          <w:bCs/>
          <w:b/>
        </w:rPr>
        <w:t xml:space="preserve">Production Phase (Scope 2) (4.97%):</w:t>
      </w:r>
      <w:r>
        <w:t xml:space="preserve"> </w:t>
      </w:r>
      <w:r>
        <w:t xml:space="preserve">The company\'s 70% renewable energy usage significantly mitigates emissions from the production process. Without this, the Scope 2 footprint would be much higher.</w:t>
      </w:r>
    </w:p>
    <w:p>
      <w:r>
        <w:pict>
          <v:rect style="width:0;height:1.5pt" o:hralign="center" o:hrstd="t" o:hr="t"/>
        </w:pict>
      </w:r>
    </w:p>
    <w:bookmarkEnd w:id="45"/>
    <w:bookmarkEnd w:id="46"/>
    <w:bookmarkStart w:id="49" w:name="review-and-conclusions"/>
    <w:p>
      <w:pPr>
        <w:pStyle w:val="Heading2"/>
      </w:pPr>
      <w:r>
        <w:t xml:space="preserve">5. Review and Conclusions</w:t>
      </w:r>
    </w:p>
    <w:p>
      <w:pPr>
        <w:pStyle w:val="FirstParagraph"/>
      </w:pPr>
      <w:r>
        <w:t xml:space="preserve">The PCF analysis for rldsyykjyn (Smartwatch X) identifies a total cradle-to-grave footprint of</w:t>
      </w:r>
      <w:r>
        <w:t xml:space="preserve"> </w:t>
      </w:r>
      <w:r>
        <w:rPr>
          <w:bCs/>
          <w:b/>
        </w:rPr>
        <w:t xml:space="preserve">4.124 kgCO2e per unit</w:t>
      </w:r>
      <w:r>
        <w:t xml:space="preserve">. The most impactful stages are the product\'s use phase and the emissions embedded in purchased materials.</w:t>
      </w:r>
    </w:p>
    <w:bookmarkStart w:id="47" w:name="recommendations"/>
    <w:p>
      <w:pPr>
        <w:pStyle w:val="Heading3"/>
      </w:pPr>
      <w:r>
        <w:t xml:space="preserve">Recommendations:</w:t>
      </w:r>
    </w:p>
    <w:p>
      <w:pPr>
        <w:numPr>
          <w:ilvl w:val="0"/>
          <w:numId w:val="1021"/>
        </w:numPr>
        <w:pStyle w:val="Compact"/>
      </w:pPr>
      <w:r>
        <w:rPr>
          <w:bCs/>
          <w:b/>
        </w:rPr>
        <w:t xml:space="preserve">Focus on Use Phase Efficiency:</w:t>
      </w:r>
      <w:r>
        <w:t xml:space="preserve"> </w:t>
      </w:r>
      <w:r>
        <w:t xml:space="preserve">Given the dominance of use-phase emissions, gpoeinsllf should prioritize further enhancing the energy efficiency of rldsyykjyn. This could include optimizing software, developing more efficient components, or exploring partnerships for low-carbon electricity usage during the product\'s lifetime.</w:t>
      </w:r>
    </w:p>
    <w:p>
      <w:pPr>
        <w:numPr>
          <w:ilvl w:val="0"/>
          <w:numId w:val="1021"/>
        </w:numPr>
        <w:pStyle w:val="Compact"/>
      </w:pPr>
      <w:r>
        <w:rPr>
          <w:bCs/>
          <w:b/>
        </w:rPr>
        <w:t xml:space="preserve">Sustainable Material Sourcing and Design:</w:t>
      </w:r>
      <w:r>
        <w:t xml:space="preserve"> </w:t>
      </w:r>
      <w:r>
        <w:t xml:space="preserve">Continue to investigate and implement greener materials and manufacturing processes for components like the Main Board and Battery to reduce upstream emissions. Prioritize suppliers with lower carbon footprints and robust sustainability practices.</w:t>
      </w:r>
    </w:p>
    <w:p>
      <w:pPr>
        <w:numPr>
          <w:ilvl w:val="0"/>
          <w:numId w:val="1021"/>
        </w:numPr>
        <w:pStyle w:val="Compact"/>
      </w:pPr>
      <w:r>
        <w:rPr>
          <w:bCs/>
          <w:b/>
        </w:rPr>
        <w:t xml:space="preserve">Strengthen Circularity:</w:t>
      </w:r>
      <w:r>
        <w:t xml:space="preserve"> </w:t>
      </w:r>
      <w:r>
        <w:t xml:space="preserve">Maintain and expand the existing take-back programs and high recyclability. Explore opportunities for material closed-loop systems and remanufacturing to further increase end-of-life benefits.</w:t>
      </w:r>
    </w:p>
    <w:p>
      <w:pPr>
        <w:numPr>
          <w:ilvl w:val="0"/>
          <w:numId w:val="1021"/>
        </w:numPr>
        <w:pStyle w:val="Compact"/>
      </w:pPr>
      <w:r>
        <w:rPr>
          <w:bCs/>
          <w:b/>
        </w:rPr>
        <w:t xml:space="preserve">Data Refinement:</w:t>
      </w:r>
      <w:r>
        <w:t xml:space="preserve"> </w:t>
      </w:r>
      <w:r>
        <w:t xml:space="preserve">Continuously improve the collection of primary data for all lifecycle stages, especially for specific transport modes, distances, and regional electricity mixes in use-phase geographies, to enhance the accuracy of future PCF analyses.</w:t>
      </w:r>
    </w:p>
    <w:p>
      <w:pPr>
        <w:numPr>
          <w:ilvl w:val="0"/>
          <w:numId w:val="1021"/>
        </w:numPr>
        <w:pStyle w:val="Compact"/>
      </w:pPr>
      <w:r>
        <w:rPr>
          <w:bCs/>
          <w:b/>
        </w:rPr>
        <w:t xml:space="preserve">LSR Standard Preparedness:</w:t>
      </w:r>
      <w:r>
        <w:t xml:space="preserve"> </w:t>
      </w:r>
      <w:r>
        <w:t xml:space="preserve">As the GHG Protocol\'s Land Sector and Removals (LSR) Standard becomes effective in 2027, gpoeinsllf should assess its supply chain for any indirect land use emissions, particularly concerning raw material extraction for electronics components, to ensure future compliance.</w:t>
      </w:r>
    </w:p>
    <w:bookmarkEnd w:id="47"/>
    <w:bookmarkStart w:id="48" w:name="reliability"/>
    <w:p>
      <w:pPr>
        <w:pStyle w:val="Heading3"/>
      </w:pPr>
      <w:r>
        <w:t xml:space="preserve">Reliability:</w:t>
      </w:r>
    </w:p>
    <w:p>
      <w:pPr>
        <w:pStyle w:val="FirstParagraph"/>
      </w:pPr>
      <w:r>
        <w:t xml:space="preserve">This report is based on a blend of primary data provided for specific parameters and secondary, industry-average emission factors from established databases (Ecoinvent, DEFRA). The reliability is considered high for the parameters explicitly provided. Where assumptions were made (e.g., specific last-mile delivery factors, generic European electricity mix for use phase), these were chosen to be conservative and representative of industry standards to the best of current knowledge. Continual improvement in primary data collection, particularly for downstream value chain activities, will further enhance the accuracy and reliability of future PCF assessments. The 95% Scope 3 coverage target, as per 2026 requirements, has been met by including all significant upstream and downstream categories.</w:t>
      </w:r>
    </w:p>
    <w:p>
      <w:pPr>
        <w:pStyle w:val="BodyText"/>
      </w:pPr>
      <w:r>
        <w:t xml:space="preserve">Confidential - Internal Use Only | Page X of 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rldsyykjyn (Smartwatch X)</dc:title>
  <dc:creator/>
  <dc:description>High-detail Product Carbon Footprint (PCF) analysis report for rldsyykjyn (Smartwatch X) by vwvzlonfom (Dr. Evelyn Reed), Senior Sustainability Consultant for gpoeinsllf (TechInnovate Inc.), adhering to GHG Protocol and 2026 LSR Update considerations.</dc:description>
  <dc:language>en</dc:language>
  <cp:keywords/>
  <dcterms:created xsi:type="dcterms:W3CDTF">2026-07-15T09:13:00Z</dcterms:created>
  <dcterms:modified xsi:type="dcterms:W3CDTF">2026-07-15T09:13:00Z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