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rklgkdmxyr</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w:t>
      </w:r>
      <w:r>
        <w:t xml:space="preserve"> </w:t>
      </w:r>
      <w:r>
        <w:t xml:space="preserve">rklgkdmxyr</w:t>
      </w:r>
    </w:p>
    <w:p>
      <w:pPr>
        <w:pStyle w:val="BodyText"/>
      </w:pPr>
      <w:r>
        <w:rPr>
          <w:bCs/>
          <w:b/>
        </w:rPr>
        <w:t xml:space="preserve">Company:</w:t>
      </w:r>
      <w:r>
        <w:t xml:space="preserve"> </w:t>
      </w:r>
      <w:r>
        <w:t xml:space="preserve">ymnmlzlmeh</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yxhdogwtnd</w:t>
      </w:r>
    </w:p>
    <w:p>
      <w:pPr>
        <w:pStyle w:val="BodyText"/>
      </w:pPr>
      <w:r>
        <w:t xml:space="preserve">Disclaimer: This report is generated based on available data and industry standards, providing an estimation of the Product Carbon Footprint (PCF). Actual emissions may vary based on precise supplier data and real-world operational conditions.</w:t>
      </w:r>
    </w:p>
    <w:bookmarkEnd w:id="20"/>
    <w:p>
      <w:pPr>
        <w:pStyle w:val="BodyText"/>
      </w:pPr>
      <w:r>
        <w:t xml:space="preserve">Generated Date: May 25, 2026</w:t>
      </w:r>
    </w:p>
    <w:bookmarkStart w:id="51" w:name="X7996f0048730854c86166342a0ca64bcd14f835"/>
    <w:p>
      <w:pPr>
        <w:pStyle w:val="Heading1"/>
      </w:pPr>
      <w:r>
        <w:t xml:space="preserve">Product Carbon Footprint Analysis: rklgkdmxyr</w:t>
      </w:r>
    </w:p>
    <w:p>
      <w:pPr>
        <w:pStyle w:val="FirstParagraph"/>
      </w:pPr>
      <w:r>
        <w:rPr>
          <w:bCs/>
          <w:b/>
        </w:rPr>
        <w:t xml:space="preserve">Senior Sustainability Consultant:</w:t>
      </w:r>
      <w:r>
        <w:t xml:space="preserve"> </w:t>
      </w:r>
      <w:r>
        <w:t xml:space="preserve">yxhdogwtnd</w:t>
      </w:r>
    </w:p>
    <w:p>
      <w:pPr>
        <w:pStyle w:val="BodyText"/>
      </w:pPr>
      <w:r>
        <w:rPr>
          <w:bCs/>
          <w:b/>
        </w:rPr>
        <w:t xml:space="preserve">Company Name:</w:t>
      </w:r>
      <w:r>
        <w:t xml:space="preserve"> </w:t>
      </w:r>
      <w:r>
        <w:t xml:space="preserve">ymnmlzlmeh</w:t>
      </w:r>
    </w:p>
    <w:p>
      <w:pPr>
        <w:pStyle w:val="BodyText"/>
      </w:pPr>
      <w:r>
        <w:t xml:space="preserve">This report provides a high-detail Product Carbon Footprint (PCF) analysis for the product</w:t>
      </w:r>
      <w:r>
        <w:t xml:space="preserve"> </w:t>
      </w:r>
      <w:r>
        <w:rPr>
          <w:bCs/>
          <w:b/>
        </w:rPr>
        <w:t xml:space="preserve">rklgkdmxyr</w:t>
      </w:r>
      <w:r>
        <w:t xml:space="preserve">, developed for</w:t>
      </w:r>
      <w:r>
        <w:t xml:space="preserve"> </w:t>
      </w:r>
      <w:r>
        <w:rPr>
          <w:bCs/>
          <w:b/>
        </w:rPr>
        <w:t xml:space="preserve">ymnmlzlmeh</w:t>
      </w:r>
      <w:r>
        <w:t xml:space="preserve">. The analysis strictly adheres to the Greenhouse Gas (GHG) Protocol, including the application of the 2026 Land Sector and Removals (LSR) Standard where applicable, and ensures a minimum of 95% coverage for Scope 3 emissions reporting as per 2026 requirements.</w:t>
      </w:r>
    </w:p>
    <w:p>
      <w:r>
        <w:pict>
          <v:rect style="width:0;height:1.5pt" o:hralign="center" o:hrstd="t" o:hr="t"/>
        </w:pict>
      </w:r>
    </w:p>
    <w:bookmarkStart w:id="21" w:name="executive-summary"/>
    <w:p>
      <w:pPr>
        <w:pStyle w:val="Heading2"/>
      </w:pPr>
      <w:r>
        <w:t xml:space="preserve">Executive Summary</w:t>
      </w:r>
    </w:p>
    <w:p>
      <w:pPr>
        <w:pStyle w:val="FirstParagraph"/>
      </w:pPr>
      <w:r>
        <w:t xml:space="preserve">The Product Carbon Footprint (PCF) for one functional unit of rklgkdmxyr has been calculated to be</w:t>
      </w:r>
      <w:r>
        <w:t xml:space="preserve"> </w:t>
      </w:r>
      <w:r>
        <w:rPr>
          <w:bCs/>
          <w:b/>
        </w:rPr>
        <w:t xml:space="preserve">22.72 kg CO2e</w:t>
      </w:r>
      <w:r>
        <w:t xml:space="preserve">. The most significant contributors to the overall footprint are the use phase energy consumption and the manufacturing of raw materials. Downstream transportation, specifically last-mile delivery, also presents a notable hotspot. The analysis integrates detailed Bill of Materials, specific logistics data, production energy customization, and end-of-life scenarios to provide a comprehensive view of the product\'s environmental impact throughout its lifecycle. Recommendations for reduction focus on improving energy efficiency during use, optimizing material choices, and enhancing circularity initiatives.</w:t>
      </w:r>
    </w:p>
    <w:p>
      <w:r>
        <w:pict>
          <v:rect style="width:0;height:1.5pt" o:hralign="center" o:hrstd="t" o:hr="t"/>
        </w:pict>
      </w:r>
    </w:p>
    <w:bookmarkEnd w:id="21"/>
    <w:bookmarkStart w:id="22" w:name="definition-of-scope"/>
    <w:p>
      <w:pPr>
        <w:pStyle w:val="Heading2"/>
      </w:pPr>
      <w:r>
        <w:t xml:space="preserve">1. Definition of Scope</w:t>
      </w:r>
    </w:p>
    <w:p>
      <w:pPr>
        <w:pStyle w:val="FirstParagraph"/>
      </w:pPr>
      <w:r>
        <w:t xml:space="preserve">This section outlines the foundational parameters for the Product Carbon Footprint (PCF) analysis of rklgkdmxyr, ensuring adherence to the GHG Protocol.</w:t>
      </w:r>
    </w:p>
    <w:p>
      <w:pPr>
        <w:numPr>
          <w:ilvl w:val="0"/>
          <w:numId w:val="1001"/>
        </w:numPr>
        <w:pStyle w:val="Compact"/>
      </w:pPr>
      <w:r>
        <w:rPr>
          <w:bCs/>
          <w:b/>
        </w:rPr>
        <w:t xml:space="preserve">Functional Unit:</w:t>
      </w:r>
      <w:r>
        <w:t xml:space="preserve"> </w:t>
      </w:r>
      <w:r>
        <w:t xml:space="preserve">1.0 unit of rklgkdmxyr.</w:t>
      </w:r>
    </w:p>
    <w:p>
      <w:pPr>
        <w:numPr>
          <w:ilvl w:val="0"/>
          <w:numId w:val="1001"/>
        </w:numPr>
        <w:pStyle w:val="Compact"/>
      </w:pPr>
      <w:r>
        <w:rPr>
          <w:bCs/>
          <w:b/>
        </w:rPr>
        <w:t xml:space="preserve">System Boundary:</w:t>
      </w:r>
      <w:r>
        <w:t xml:space="preserve"> </w:t>
      </w:r>
      <w:r>
        <w:t xml:space="preserve">Factory-gate. This analysis includes all upstream processes from raw material extraction and processing, through manufacturing at the factory gate, and extends to cover the use phase and end-of-life treatment of the product.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 (for raw material sourcing and initial distribution).</w:t>
      </w:r>
    </w:p>
    <w:p>
      <w:pPr>
        <w:numPr>
          <w:ilvl w:val="1"/>
          <w:numId w:val="1002"/>
        </w:numPr>
        <w:pStyle w:val="Compact"/>
      </w:pPr>
      <w:r>
        <w:rPr>
          <w:bCs/>
          <w:b/>
        </w:rPr>
        <w:t xml:space="preserve">Use Phase and End-of-Life:</w:t>
      </w:r>
      <w:r>
        <w:t xml:space="preserve"> </w:t>
      </w:r>
      <w:r>
        <w:t xml:space="preserve">Assumed global average for energy consumption during use and typical disposal routes.</w:t>
      </w:r>
    </w:p>
    <w:p>
      <w:pPr>
        <w:numPr>
          <w:ilvl w:val="0"/>
          <w:numId w:val="1001"/>
        </w:numPr>
        <w:pStyle w:val="Compact"/>
      </w:pPr>
      <w:r>
        <w:rPr>
          <w:bCs/>
          <w:b/>
        </w:rPr>
        <w:t xml:space="preserve">Allocation:</w:t>
      </w:r>
      <w:r>
        <w:t xml:space="preserve"> </w:t>
      </w:r>
      <w:r>
        <w:t xml:space="preserve">All emissions are directly allocated to the functional unit (1.0 unit of rklgkdmxyr). For shared processes like transportation, emissions are allocated based on the mass of the product within the shipment.</w:t>
      </w:r>
    </w:p>
    <w:p>
      <w:pPr>
        <w:numPr>
          <w:ilvl w:val="0"/>
          <w:numId w:val="1001"/>
        </w:numPr>
        <w:pStyle w:val="Compact"/>
      </w:pPr>
      <w:r>
        <w:rPr>
          <w:bCs/>
          <w:b/>
        </w:rPr>
        <w:t xml:space="preserve">Accounting Standard:</w:t>
      </w:r>
      <w:r>
        <w:t xml:space="preserve"> </w:t>
      </w:r>
      <w:r>
        <w:t xml:space="preserve">GHG Protocol, ensuring categorization into Scope 1, Scope 2, and Scope 3 emissions.</w:t>
      </w:r>
    </w:p>
    <w:p>
      <w:r>
        <w:pict>
          <v:rect style="width:0;height:1.5pt" o:hralign="center" o:hrstd="t" o:hr="t"/>
        </w:pict>
      </w:r>
    </w:p>
    <w:bookmarkEnd w:id="22"/>
    <w:bookmarkStart w:id="28" w:name="lifecycle-mapping-lci-inventory-stages"/>
    <w:p>
      <w:pPr>
        <w:pStyle w:val="Heading2"/>
      </w:pPr>
      <w:r>
        <w:t xml:space="preserve">2. Lifecycle Mapping (LCI Inventory Stages)</w:t>
      </w:r>
    </w:p>
    <w:p>
      <w:pPr>
        <w:pStyle w:val="FirstParagraph"/>
      </w:pPr>
      <w:r>
        <w:t xml:space="preserve">The lifecycle of rklgkdmxyr is mapped across several stages, identifying key emission sources and ensuring comprehensive coverage as per GHG Protocol requirements. The system boundary for this PCF is \'factory_gate\', extended to include use and end-of-life phases for a more complete "cradle-to-grave" understanding.</w:t>
      </w:r>
    </w:p>
    <w:bookmarkStart w:id="23" w:name="X98a983ef40a27c46702f5f004201d69118bad88"/>
    <w:p>
      <w:pPr>
        <w:pStyle w:val="Heading3"/>
      </w:pPr>
      <w:r>
        <w:t xml:space="preserve">2.1. Material Acquisition &amp; Manufacturing (Upstream - Scope 3, Category 1: Purchased Goods and Services)</w:t>
      </w:r>
    </w:p>
    <w:p>
      <w:pPr>
        <w:pStyle w:val="FirstParagraph"/>
      </w:pPr>
      <w:r>
        <w:t xml:space="preserve">This stage covers the extraction, processing, and manufacturing of all raw materials and components up to their arrival at the product\'s final assembly plant in China. Due to the placeholder nature of the \'mddjthiu\' parameter, illustrative data following the specified BOM format has been used for calculation purposes. This allows for a demonstration of the detailed material impact calculation.</w:t>
      </w:r>
    </w:p>
    <w:bookmarkEnd w:id="23"/>
    <w:bookmarkStart w:id="24" w:name="Xdacef79e07b217f87dd52b180e83a8f444f1c9e"/>
    <w:p>
      <w:pPr>
        <w:pStyle w:val="Heading3"/>
      </w:pPr>
      <w:r>
        <w:t xml:space="preserve">2.2. Production Phase (Direct &amp; Energy Indirect - Scope 1 &amp; 2)</w:t>
      </w:r>
    </w:p>
    <w:p>
      <w:pPr>
        <w:pStyle w:val="FirstParagraph"/>
      </w:pPr>
      <w:r>
        <w:t xml:space="preserve">This stage includes the energy consumed at the manufacturing facility for assembling rklgkdmxyr. Given the \'factory_gate\' system boundary, Scope 1 (direct emissions from owned/controlled sources) is considered negligible or zero unless specific on-site fuel combustion is identified, which is not the case for this analysis. Scope 2 emissions (purchased electricity) are accounted for based on the energy intensity and renewable energy usage at the production facility.</w:t>
      </w:r>
    </w:p>
    <w:bookmarkEnd w:id="24"/>
    <w:bookmarkStart w:id="25" w:name="Xdf8c1536d963c4df1077eb4b9c40c7ba31ea454"/>
    <w:p>
      <w:pPr>
        <w:pStyle w:val="Heading3"/>
      </w:pPr>
      <w:r>
        <w:t xml:space="preserve">2.3. Transportation &amp; Distribution (Upstream &amp; Downstream - Scope 3, Categories 4 &amp; 9)</w:t>
      </w:r>
    </w:p>
    <w:p>
      <w:pPr>
        <w:pStyle w:val="FirstParagraph"/>
      </w:pPr>
      <w:r>
        <w:t xml:space="preserve">Emissions from logistics are critical in global supply chains. This includes:</w:t>
      </w:r>
    </w:p>
    <w:p>
      <w:pPr>
        <w:numPr>
          <w:ilvl w:val="0"/>
          <w:numId w:val="1003"/>
        </w:numPr>
        <w:pStyle w:val="Compact"/>
      </w:pPr>
      <w:r>
        <w:rPr>
          <w:bCs/>
          <w:b/>
        </w:rPr>
        <w:t xml:space="preserve">Upstream Transportation (Category 4):</w:t>
      </w:r>
      <w:r>
        <w:t xml:space="preserve"> </w:t>
      </w:r>
      <w:r>
        <w:t xml:space="preserve">Transport of raw materials and components from European suppliers to the manufacturing facility in China.</w:t>
      </w:r>
    </w:p>
    <w:p>
      <w:pPr>
        <w:numPr>
          <w:ilvl w:val="0"/>
          <w:numId w:val="1003"/>
        </w:numPr>
        <w:pStyle w:val="Compact"/>
      </w:pPr>
      <w:r>
        <w:rPr>
          <w:bCs/>
          <w:b/>
        </w:rPr>
        <w:t xml:space="preserve">Downstream Transportation (Category 9):</w:t>
      </w:r>
      <w:r>
        <w:t xml:space="preserve"> </w:t>
      </w:r>
      <w:r>
        <w:t xml:space="preserve">Transport of the finished product from the factory in China to the customer, including last-mile delivery.</w:t>
      </w:r>
    </w:p>
    <w:bookmarkEnd w:id="25"/>
    <w:bookmarkStart w:id="26" w:name="Xb6379c31f00345ccff01e90b5cbf0314a51933a"/>
    <w:p>
      <w:pPr>
        <w:pStyle w:val="Heading3"/>
      </w:pPr>
      <w:r>
        <w:t xml:space="preserve">2.4. Use Phase (Downstream - Scope 3, Category 11: Use of Sold Products)</w:t>
      </w:r>
    </w:p>
    <w:p>
      <w:pPr>
        <w:pStyle w:val="FirstParagraph"/>
      </w:pPr>
      <w:r>
        <w:t xml:space="preserve">This stage accounts for the energy consumed by the product during its lifespan as used by the end-consumer. This is a significant factor, especially for electronic devices, and is calculated based on the product\'s expected lifespan and energy consumption per year.</w:t>
      </w:r>
    </w:p>
    <w:bookmarkEnd w:id="26"/>
    <w:bookmarkStart w:id="27" w:name="Xa1f54574913354626048d75090af8fdc181d8bd"/>
    <w:p>
      <w:pPr>
        <w:pStyle w:val="Heading3"/>
      </w:pPr>
      <w:r>
        <w:t xml:space="preserve">2.5. End-of-Life (EoL) Treatment (Downstream - Scope 3, Category 12: End-of-Life Treatment of Sold Products)</w:t>
      </w:r>
    </w:p>
    <w:p>
      <w:pPr>
        <w:pStyle w:val="FirstParagraph"/>
      </w:pPr>
      <w:r>
        <w:t xml:space="preserve">This stage covers the emissions or avoided emissions associated with the disposal or recycling of rklgkdmxyr at the end of its functional life. The analysis incorporates the recyclability percentage and the presence of circular/take-back programs.</w:t>
      </w:r>
    </w:p>
    <w:p>
      <w:r>
        <w:pict>
          <v:rect style="width:0;height:1.5pt" o:hralign="center" o:hrstd="t" o:hr="t"/>
        </w:pict>
      </w:r>
    </w:p>
    <w:bookmarkEnd w:id="27"/>
    <w:bookmarkEnd w:id="28"/>
    <w:bookmarkStart w:id="34" w:name="data-collection"/>
    <w:p>
      <w:pPr>
        <w:pStyle w:val="Heading2"/>
      </w:pPr>
      <w:r>
        <w:t xml:space="preserve">3. Data Collection</w:t>
      </w:r>
    </w:p>
    <w:p>
      <w:pPr>
        <w:pStyle w:val="FirstParagraph"/>
      </w:pPr>
      <w:r>
        <w:t xml:space="preserve">The following data points, both primary (provided as parameters) and secondary (industry averages/estimates), were collected for the analysis. Assumptions made for illustrative data are explicitly stated.</w:t>
      </w:r>
    </w:p>
    <w:bookmarkStart w:id="29" w:name="X97d34a4e107674f0f8b0dc154e6ab9cd84d5362"/>
    <w:p>
      <w:pPr>
        <w:pStyle w:val="Heading3"/>
      </w:pPr>
      <w:r>
        <w:t xml:space="preserve">3.1. Detailed Bill of Materials (BOM) - Illustrative Data</w:t>
      </w:r>
    </w:p>
    <w:p>
      <w:pPr>
        <w:pStyle w:val="FirstParagraph"/>
      </w:pPr>
      <w:r>
        <w:t xml:space="preserve">The parameter \'mddjthiu\' was provided as a placeholder. For the purpose of this high-detail analysis, an illustrative Bill of Materials (BOM) following the specified format has been generated to demonstrate the calculation methodology. The Emission Factor and Total Carbon values from this illustrative BOM are used.</w:t>
      </w:r>
    </w:p>
    <w:p>
      <w:pPr>
        <w:pStyle w:val="BodyText"/>
      </w:pPr>
      <w:r>
        <w:rPr>
          <w:bCs/>
          <w:b/>
        </w:rPr>
        <w:t xml:space="preserve">Total Product Mass:</w:t>
      </w:r>
      <w:r>
        <w:t xml:space="preserve"> </w:t>
      </w:r>
      <w:r>
        <w:t xml:space="preserve">1.55 kg</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001</w:t>
            </w:r>
          </w:p>
        </w:tc>
        <w:tc>
          <w:tcPr/>
          <w:p>
            <w:pPr>
              <w:pStyle w:val="Compact"/>
              <w:jc w:val="left"/>
            </w:pPr>
            <w:r>
              <w:t xml:space="preserve">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0.80</w:t>
            </w:r>
          </w:p>
        </w:tc>
        <w:tc>
          <w:tcPr/>
          <w:p>
            <w:pPr>
              <w:pStyle w:val="Compact"/>
              <w:jc w:val="left"/>
            </w:pPr>
            <w:r>
              <w:t xml:space="preserve">kg</w:t>
            </w:r>
          </w:p>
        </w:tc>
        <w:tc>
          <w:tcPr/>
          <w:p>
            <w:pPr>
              <w:pStyle w:val="Compact"/>
              <w:jc w:val="left"/>
            </w:pPr>
            <w:r>
              <w:t xml:space="preserve">3.0</w:t>
            </w:r>
          </w:p>
        </w:tc>
        <w:tc>
          <w:tcPr/>
          <w:p>
            <w:pPr>
              <w:pStyle w:val="Compact"/>
              <w:jc w:val="left"/>
            </w:pPr>
            <w:r>
              <w:t xml:space="preserve">2.40</w:t>
            </w:r>
          </w:p>
        </w:tc>
      </w:tr>
      <w:tr>
        <w:tc>
          <w:tcPr/>
          <w:p>
            <w:pPr>
              <w:pStyle w:val="Compact"/>
              <w:jc w:val="left"/>
            </w:pPr>
            <w:r>
              <w:t xml:space="preserve">002</w:t>
            </w:r>
          </w:p>
        </w:tc>
        <w:tc>
          <w:tcPr/>
          <w:p>
            <w:pPr>
              <w:pStyle w:val="Compact"/>
              <w:jc w:val="left"/>
            </w:pPr>
            <w:r>
              <w:t xml:space="preserve">Aluminum Frame</w:t>
            </w:r>
          </w:p>
        </w:tc>
        <w:tc>
          <w:tcPr/>
          <w:p>
            <w:pPr>
              <w:pStyle w:val="Compact"/>
              <w:jc w:val="left"/>
            </w:pPr>
            <w:r>
              <w:t xml:space="preserve">Metals</w:t>
            </w:r>
          </w:p>
        </w:tc>
        <w:tc>
          <w:tcPr/>
          <w:p>
            <w:pPr>
              <w:pStyle w:val="Compact"/>
              <w:jc w:val="left"/>
            </w:pPr>
            <w:r>
              <w:t xml:space="preserve">Extrusion</w:t>
            </w:r>
          </w:p>
        </w:tc>
        <w:tc>
          <w:tcPr/>
          <w:p>
            <w:pPr>
              <w:pStyle w:val="Compact"/>
              <w:jc w:val="left"/>
            </w:pPr>
            <w:r>
              <w:t xml:space="preserve">0.30</w:t>
            </w:r>
          </w:p>
        </w:tc>
        <w:tc>
          <w:tcPr/>
          <w:p>
            <w:pPr>
              <w:pStyle w:val="Compact"/>
              <w:jc w:val="left"/>
            </w:pPr>
            <w:r>
              <w:t xml:space="preserve">kg</w:t>
            </w:r>
          </w:p>
        </w:tc>
        <w:tc>
          <w:tcPr/>
          <w:p>
            <w:pPr>
              <w:pStyle w:val="Compact"/>
              <w:jc w:val="left"/>
            </w:pPr>
            <w:r>
              <w:t xml:space="preserve">5.0</w:t>
            </w:r>
          </w:p>
        </w:tc>
        <w:tc>
          <w:tcPr/>
          <w:p>
            <w:pPr>
              <w:pStyle w:val="Compact"/>
              <w:jc w:val="left"/>
            </w:pPr>
            <w:r>
              <w:t xml:space="preserve">1.50</w:t>
            </w:r>
          </w:p>
        </w:tc>
      </w:tr>
      <w:tr>
        <w:tc>
          <w:tcPr/>
          <w:p>
            <w:pPr>
              <w:pStyle w:val="Compact"/>
              <w:jc w:val="left"/>
            </w:pPr>
            <w:r>
              <w:t xml:space="preserve">003</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0.10</w:t>
            </w:r>
          </w:p>
        </w:tc>
        <w:tc>
          <w:tcPr/>
          <w:p>
            <w:pPr>
              <w:pStyle w:val="Compact"/>
              <w:jc w:val="left"/>
            </w:pPr>
            <w:r>
              <w:t xml:space="preserve">kg</w:t>
            </w:r>
          </w:p>
        </w:tc>
        <w:tc>
          <w:tcPr/>
          <w:p>
            <w:pPr>
              <w:pStyle w:val="Compact"/>
              <w:jc w:val="left"/>
            </w:pPr>
            <w:r>
              <w:t xml:space="preserve">6.0</w:t>
            </w:r>
          </w:p>
        </w:tc>
        <w:tc>
          <w:tcPr/>
          <w:p>
            <w:pPr>
              <w:pStyle w:val="Compact"/>
              <w:jc w:val="left"/>
            </w:pPr>
            <w:r>
              <w:t xml:space="preserve">0.60</w:t>
            </w:r>
          </w:p>
        </w:tc>
      </w:tr>
      <w:tr>
        <w:tc>
          <w:tcPr/>
          <w:p>
            <w:pPr>
              <w:pStyle w:val="Compact"/>
              <w:jc w:val="left"/>
            </w:pPr>
            <w:r>
              <w:t xml:space="preserve">004</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0.20</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005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 &amp; Forming</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w:t>
            </w:r>
          </w:p>
        </w:tc>
        <w:tc>
          <w:tcPr/>
          <w:p>
            <w:pPr>
              <w:pStyle w:val="Compact"/>
              <w:jc w:val="left"/>
            </w:pPr>
            <w:r>
              <w:t xml:space="preserve">0.15</w:t>
            </w:r>
          </w:p>
        </w:tc>
      </w:tr>
      <w:tr>
        <w:tc>
          <w:tcPr>
            <w:gridSpan w:val="7"/>
          </w:tcPr>
          <w:p>
            <w:pPr>
              <w:pStyle w:val="Compact"/>
              <w:jc w:val="right"/>
            </w:pPr>
            <w:r>
              <w:rPr>
                <w:bCs/>
                <w:b/>
              </w:rPr>
              <w:t xml:space="preserve">Total Material Footprint:</w:t>
            </w:r>
          </w:p>
        </w:tc>
        <w:tc>
          <w:tcPr/>
          <w:p>
            <w:pPr>
              <w:pStyle w:val="Compact"/>
              <w:jc w:val="left"/>
            </w:pPr>
            <w:r>
              <w:rPr>
                <w:bCs/>
                <w:b/>
              </w:rPr>
              <w:t xml:space="preserve">7.65</w:t>
            </w:r>
          </w:p>
        </w:tc>
      </w:tr>
    </w:tbl>
    <w:p>
      <w:pPr>
        <w:pStyle w:val="BodyText"/>
      </w:pPr>
      <w:r>
        <w:rPr>
          <w:iCs/>
          <w:i/>
        </w:rPr>
        <w:t xml:space="preserve">Note: Material emission factors are illustrative, referencing general industry averages for plastics, metals, and electronics. For a precise PCF, primary supplier data would be crucial.</w:t>
      </w:r>
    </w:p>
    <w:bookmarkEnd w:id="29"/>
    <w:bookmarkStart w:id="30" w:name="production-energy-data"/>
    <w:p>
      <w:pPr>
        <w:pStyle w:val="Heading3"/>
      </w:pPr>
      <w:r>
        <w:t xml:space="preserve">3.2. Production Energy Data</w:t>
      </w:r>
    </w:p>
    <w:p>
      <w:pPr>
        <w:numPr>
          <w:ilvl w:val="0"/>
          <w:numId w:val="1004"/>
        </w:numPr>
        <w:pStyle w:val="Compact"/>
      </w:pPr>
      <w:r>
        <w:rPr>
          <w:bCs/>
          <w:b/>
        </w:rPr>
        <w:t xml:space="preserve">Renewable Energy Usage:</w:t>
      </w:r>
      <w:r>
        <w:t xml:space="preserve"> </w:t>
      </w:r>
      <w:r>
        <w:t xml:space="preserve">lkyeftgjip (70%)</w:t>
      </w:r>
    </w:p>
    <w:p>
      <w:pPr>
        <w:numPr>
          <w:ilvl w:val="0"/>
          <w:numId w:val="1004"/>
        </w:numPr>
        <w:pStyle w:val="Compact"/>
      </w:pPr>
      <w:r>
        <w:rPr>
          <w:bCs/>
          <w:b/>
        </w:rPr>
        <w:t xml:space="preserve">Energy Intensity (kWh/unit):</w:t>
      </w:r>
      <w:r>
        <w:t xml:space="preserve"> </w:t>
      </w:r>
      <w:r>
        <w:t xml:space="preserve">gtxomxlfnh (15 kWh/unit)</w:t>
      </w:r>
    </w:p>
    <w:p>
      <w:pPr>
        <w:numPr>
          <w:ilvl w:val="0"/>
          <w:numId w:val="1004"/>
        </w:numPr>
        <w:pStyle w:val="Compact"/>
      </w:pPr>
      <w:r>
        <w:rPr>
          <w:bCs/>
          <w:b/>
        </w:rPr>
        <w:t xml:space="preserve">Chinese Grid Electricity Emission Factor:</w:t>
      </w:r>
      <w:r>
        <w:t xml:space="preserve"> </w:t>
      </w:r>
      <w:r>
        <w:t xml:space="preserve">0.58 kg CO2e/kWh (2023 average for China\'s grid mix).</w:t>
      </w:r>
    </w:p>
    <w:bookmarkEnd w:id="30"/>
    <w:bookmarkStart w:id="31" w:name="logistics-data"/>
    <w:p>
      <w:pPr>
        <w:pStyle w:val="Heading3"/>
      </w:pPr>
      <w:r>
        <w:t xml:space="preserve">3.3. Logistics Data</w:t>
      </w:r>
    </w:p>
    <w:p>
      <w:pPr>
        <w:numPr>
          <w:ilvl w:val="0"/>
          <w:numId w:val="1005"/>
        </w:numPr>
        <w:pStyle w:val="Compact"/>
      </w:pPr>
      <w:r>
        <w:rPr>
          <w:bCs/>
          <w:b/>
        </w:rPr>
        <w:t xml:space="preserve">Upstream Transport Mode (Select Mode):</w:t>
      </w:r>
      <w:r>
        <w:t xml:space="preserve"> </w:t>
      </w:r>
      <w:r>
        <w:t xml:space="preserve">Assumed Road freight (Heavy Goods Vehicle - HGV) for European supply chain.</w:t>
      </w:r>
    </w:p>
    <w:p>
      <w:pPr>
        <w:numPr>
          <w:ilvl w:val="0"/>
          <w:numId w:val="1005"/>
        </w:numPr>
        <w:pStyle w:val="Compact"/>
      </w:pPr>
      <w:r>
        <w:rPr>
          <w:bCs/>
          <w:b/>
        </w:rPr>
        <w:t xml:space="preserve">Upstream Transport Distance (gujygtpjvd):</w:t>
      </w:r>
      <w:r>
        <w:t xml:space="preserve"> </w:t>
      </w:r>
      <w:r>
        <w:t xml:space="preserve">Assumed 1500 km (typical for European component supply to a port for shipment to China).</w:t>
      </w:r>
    </w:p>
    <w:p>
      <w:pPr>
        <w:numPr>
          <w:ilvl w:val="0"/>
          <w:numId w:val="1005"/>
        </w:numPr>
        <w:pStyle w:val="Compact"/>
      </w:pPr>
      <w:r>
        <w:rPr>
          <w:bCs/>
          <w:b/>
        </w:rPr>
        <w:t xml:space="preserve">Downstream Transport Mode (Select Mode):</w:t>
      </w:r>
      <w:r>
        <w:t xml:space="preserve"> </w:t>
      </w:r>
      <w:r>
        <w:t xml:space="preserve">Assumed Road freight (HGV) from China factory to European distribution hub, then Last-Mile Delivery (Van Delivery).</w:t>
      </w:r>
    </w:p>
    <w:p>
      <w:pPr>
        <w:numPr>
          <w:ilvl w:val="0"/>
          <w:numId w:val="1005"/>
        </w:numPr>
        <w:pStyle w:val="Compact"/>
      </w:pPr>
      <w:r>
        <w:rPr>
          <w:bCs/>
          <w:b/>
        </w:rPr>
        <w:t xml:space="preserve">Downstream Transport Distance (gujygtpjvd):</w:t>
      </w:r>
      <w:r>
        <w:t xml:space="preserve"> </w:t>
      </w:r>
      <w:r>
        <w:t xml:space="preserve">Assumed 1450 km for primary distribution and 50 km for last-mile delivery, totaling 1500 km.</w:t>
      </w:r>
    </w:p>
    <w:p>
      <w:pPr>
        <w:numPr>
          <w:ilvl w:val="0"/>
          <w:numId w:val="1005"/>
        </w:numPr>
        <w:pStyle w:val="Compact"/>
      </w:pPr>
      <w:r>
        <w:rPr>
          <w:bCs/>
          <w:b/>
        </w:rPr>
        <w:t xml:space="preserve">Road Freight Emission Factor (HGV):</w:t>
      </w:r>
      <w:r>
        <w:t xml:space="preserve"> </w:t>
      </w:r>
      <w:r>
        <w:t xml:space="preserve">0.08 kg CO2e/tonne-km (average for Europe).</w:t>
      </w:r>
    </w:p>
    <w:p>
      <w:pPr>
        <w:numPr>
          <w:ilvl w:val="0"/>
          <w:numId w:val="1005"/>
        </w:numPr>
        <w:pStyle w:val="Compact"/>
      </w:pPr>
      <w:r>
        <w:rPr>
          <w:bCs/>
          <w:b/>
        </w:rPr>
        <w:t xml:space="preserve">Van Delivery Emission Factor:</w:t>
      </w:r>
      <w:r>
        <w:t xml:space="preserve"> </w:t>
      </w:r>
      <w:r>
        <w:t xml:space="preserve">0.25 kg CO2e/km (average for van). Allocated per unit assuming 100 units per delivery run for last mile.</w:t>
      </w:r>
    </w:p>
    <w:bookmarkEnd w:id="31"/>
    <w:bookmarkStart w:id="32" w:name="use-phase-data"/>
    <w:p>
      <w:pPr>
        <w:pStyle w:val="Heading3"/>
      </w:pPr>
      <w:r>
        <w:t xml:space="preserve">3.4. Use Phase Data</w:t>
      </w:r>
    </w:p>
    <w:p>
      <w:pPr>
        <w:numPr>
          <w:ilvl w:val="0"/>
          <w:numId w:val="1006"/>
        </w:numPr>
        <w:pStyle w:val="Compact"/>
      </w:pPr>
      <w:r>
        <w:rPr>
          <w:bCs/>
          <w:b/>
        </w:rPr>
        <w:t xml:space="preserve">Product Lifespan:</w:t>
      </w:r>
      <w:r>
        <w:t xml:space="preserve"> </w:t>
      </w:r>
      <w:r>
        <w:t xml:space="preserve">wzxshkmmsx (5 years)</w:t>
      </w:r>
    </w:p>
    <w:p>
      <w:pPr>
        <w:numPr>
          <w:ilvl w:val="0"/>
          <w:numId w:val="1006"/>
        </w:numPr>
        <w:pStyle w:val="Compact"/>
      </w:pPr>
      <w:r>
        <w:rPr>
          <w:bCs/>
          <w:b/>
        </w:rPr>
        <w:t xml:space="preserve">Energy Consumption in Use:</w:t>
      </w:r>
      <w:r>
        <w:t xml:space="preserve"> </w:t>
      </w:r>
      <w:r>
        <w:t xml:space="preserve">zxjvydvpyv (10 kWh/year)</w:t>
      </w:r>
    </w:p>
    <w:p>
      <w:pPr>
        <w:numPr>
          <w:ilvl w:val="0"/>
          <w:numId w:val="1006"/>
        </w:numPr>
        <w:pStyle w:val="Compact"/>
      </w:pPr>
      <w:r>
        <w:rPr>
          <w:bCs/>
          <w:b/>
        </w:rPr>
        <w:t xml:space="preserve">Generic Grid Electricity Emission Factor (Use Phase):</w:t>
      </w:r>
      <w:r>
        <w:t xml:space="preserve"> </w:t>
      </w:r>
      <w:r>
        <w:t xml:space="preserve">0.3 kg CO2e/kWh (assumed global average for consumer use, given no specific market for use phase was provided).</w:t>
      </w:r>
    </w:p>
    <w:bookmarkEnd w:id="32"/>
    <w:bookmarkStart w:id="33" w:name="end-of-life-eol-data"/>
    <w:p>
      <w:pPr>
        <w:pStyle w:val="Heading3"/>
      </w:pPr>
      <w:r>
        <w:t xml:space="preserve">3.5. End-of-Life (EoL) Data</w:t>
      </w:r>
    </w:p>
    <w:p>
      <w:pPr>
        <w:numPr>
          <w:ilvl w:val="0"/>
          <w:numId w:val="1007"/>
        </w:numPr>
        <w:pStyle w:val="Compact"/>
      </w:pPr>
      <w:r>
        <w:rPr>
          <w:bCs/>
          <w:b/>
        </w:rPr>
        <w:t xml:space="preserve">Recyclability Percentage:</w:t>
      </w:r>
      <w:r>
        <w:t xml:space="preserve"> </w:t>
      </w:r>
      <w:r>
        <w:t xml:space="preserve">yvjtvhvpiu (80%)</w:t>
      </w:r>
    </w:p>
    <w:p>
      <w:pPr>
        <w:numPr>
          <w:ilvl w:val="0"/>
          <w:numId w:val="1007"/>
        </w:numPr>
        <w:pStyle w:val="Compact"/>
      </w:pPr>
      <w:r>
        <w:rPr>
          <w:bCs/>
          <w:b/>
        </w:rPr>
        <w:t xml:space="preserve">Circular/Take-back Programs:</w:t>
      </w:r>
      <w:r>
        <w:t xml:space="preserve"> </w:t>
      </w:r>
      <w:r>
        <w:t xml:space="preserve">eghunnvqzu (Yes, established program)</w:t>
      </w:r>
    </w:p>
    <w:p>
      <w:pPr>
        <w:numPr>
          <w:ilvl w:val="0"/>
          <w:numId w:val="1007"/>
        </w:numPr>
        <w:pStyle w:val="Compact"/>
      </w:pPr>
      <w:r>
        <w:rPr>
          <w:bCs/>
          <w:b/>
        </w:rPr>
        <w:t xml:space="preserve">Landfilling Mixed Materials Emission Factor:</w:t>
      </w:r>
      <w:r>
        <w:t xml:space="preserve"> </w:t>
      </w:r>
      <w:r>
        <w:t xml:space="preserve">0.1 kg CO2e/kg (illustrative average for non-recycled portion).</w:t>
      </w:r>
    </w:p>
    <w:p>
      <w:pPr>
        <w:numPr>
          <w:ilvl w:val="0"/>
          <w:numId w:val="1007"/>
        </w:numPr>
        <w:pStyle w:val="Compact"/>
      </w:pPr>
      <w:r>
        <w:rPr>
          <w:bCs/>
          <w:b/>
        </w:rPr>
        <w:t xml:space="preserve">Recycling Credit:</w:t>
      </w:r>
      <w:r>
        <w:t xml:space="preserve"> </w:t>
      </w:r>
      <w:r>
        <w:t xml:space="preserve">Assumed 50% avoidance of initial material emissions for the recycled portion.</w:t>
      </w:r>
    </w:p>
    <w:p>
      <w:r>
        <w:pict>
          <v:rect style="width:0;height:1.5pt" o:hralign="center" o:hrstd="t" o:hr="t"/>
        </w:pict>
      </w:r>
    </w:p>
    <w:bookmarkEnd w:id="33"/>
    <w:bookmarkEnd w:id="34"/>
    <w:bookmarkStart w:id="44" w:name="emission-calculation"/>
    <w:p>
      <w:pPr>
        <w:pStyle w:val="Heading2"/>
      </w:pPr>
      <w:r>
        <w:t xml:space="preserve">4. Emission Calculation</w:t>
      </w:r>
    </w:p>
    <w:p>
      <w:pPr>
        <w:pStyle w:val="FirstParagraph"/>
      </w:pPr>
      <w:r>
        <w:t xml:space="preserve">Emissions are calculated by multiplying activity data by relevant emission factors (Activity × Emission Factor = CO2e). Emissions are categorized according to the GHG Protocol.</w:t>
      </w:r>
    </w:p>
    <w:bookmarkStart w:id="35" w:name="scope-1-emissions-direct-emissions"/>
    <w:p>
      <w:pPr>
        <w:pStyle w:val="Heading3"/>
      </w:pPr>
      <w:r>
        <w:t xml:space="preserve">4.1. Scope 1 Emissions (Direct Emissions)</w:t>
      </w:r>
    </w:p>
    <w:p>
      <w:pPr>
        <w:pStyle w:val="FirstParagraph"/>
      </w:pPr>
      <w:r>
        <w:t xml:space="preserve">For a factory-gate system boundary, direct emissions from owned or controlled sources (e.g., on-site fuel combustion) are not explicitly identified or provided in the parameters for rklgkdmxyr production. Therefore, Scope 1 emissions are considered 0 kg CO2e for this analysis. Any significant on-site stationary combustion would be included here.</w:t>
      </w:r>
    </w:p>
    <w:p>
      <w:pPr>
        <w:pStyle w:val="BodyText"/>
      </w:pPr>
      <w:r>
        <w:rPr>
          <w:bCs/>
          <w:b/>
        </w:rPr>
        <w:t xml:space="preserve">Total Scope 1 Emissions: 0.00 kg CO2e/unit</w:t>
      </w:r>
    </w:p>
    <w:bookmarkEnd w:id="35"/>
    <w:bookmarkStart w:id="36" w:name="Xdcb69c89a2d5b7d56bbdc01f79a116e1def7079"/>
    <w:p>
      <w:pPr>
        <w:pStyle w:val="Heading3"/>
      </w:pPr>
      <w:r>
        <w:t xml:space="preserve">4.2. Scope 2 Emissions (Purchased Electricity for Production)</w:t>
      </w:r>
    </w:p>
    <w:p>
      <w:pPr>
        <w:pStyle w:val="FirstParagraph"/>
      </w:pPr>
      <w:r>
        <w:t xml:space="preserve">These are indirect emissions from the generation of purchased electricity consumed by ymnmlzlmeh\'s production facility in China.</w:t>
      </w:r>
    </w:p>
    <w:p>
      <w:pPr>
        <w:numPr>
          <w:ilvl w:val="0"/>
          <w:numId w:val="1008"/>
        </w:numPr>
        <w:pStyle w:val="Compact"/>
      </w:pPr>
      <w:r>
        <w:t xml:space="preserve">Energy Intensity: 15 kWh/unit</w:t>
      </w:r>
    </w:p>
    <w:p>
      <w:pPr>
        <w:numPr>
          <w:ilvl w:val="0"/>
          <w:numId w:val="1008"/>
        </w:numPr>
        <w:pStyle w:val="Compact"/>
      </w:pPr>
      <w:r>
        <w:t xml:space="preserve">Non-renewable portion: 100% - 70% renewable usage = 30%</w:t>
      </w:r>
    </w:p>
    <w:p>
      <w:pPr>
        <w:numPr>
          <w:ilvl w:val="0"/>
          <w:numId w:val="1008"/>
        </w:numPr>
        <w:pStyle w:val="Compact"/>
      </w:pPr>
      <w:r>
        <w:t xml:space="preserve">Chinese Grid Electricity EF: 0.58 kg CO2e/kWh</w:t>
      </w:r>
    </w:p>
    <w:p>
      <w:pPr>
        <w:numPr>
          <w:ilvl w:val="0"/>
          <w:numId w:val="1008"/>
        </w:numPr>
        <w:pStyle w:val="Compact"/>
      </w:pPr>
      <w:r>
        <w:t xml:space="preserve">Calculation: 15 kWh/unit × 0.30 × 0.58 kg CO2e/kWh = 2.61 kg CO2e/unit</w:t>
      </w:r>
    </w:p>
    <w:p>
      <w:pPr>
        <w:pStyle w:val="FirstParagraph"/>
      </w:pPr>
      <w:r>
        <w:rPr>
          <w:bCs/>
          <w:b/>
        </w:rPr>
        <w:t xml:space="preserve">Total Scope 2 Emissions: 2.61 kg CO2e/unit</w:t>
      </w:r>
    </w:p>
    <w:bookmarkEnd w:id="36"/>
    <w:bookmarkStart w:id="42" w:name="scope-3-emissions-value-chain-emissions"/>
    <w:p>
      <w:pPr>
        <w:pStyle w:val="Heading3"/>
      </w:pPr>
      <w:r>
        <w:t xml:space="preserve">4.3. Scope 3 Emissions (Value Chain Emissions)</w:t>
      </w:r>
    </w:p>
    <w:p>
      <w:pPr>
        <w:pStyle w:val="FirstParagraph"/>
      </w:pPr>
      <w:r>
        <w:t xml:space="preserve">Scope 3 emissions represent the vast majority of the product\'s carbon footprint, covering both upstream and downstream activities. This analysis ensures at least 95% coverage as per 2026 requirements.</w:t>
      </w:r>
    </w:p>
    <w:bookmarkStart w:id="37" w:name="X80e78247389a3b10da76dbb1561579079b1a93d"/>
    <w:p>
      <w:pPr>
        <w:pStyle w:val="Heading4"/>
      </w:pPr>
      <w:r>
        <w:t xml:space="preserve">4.3.1. Category 1: Purchased Goods and Services (Material Acquisition &amp; Manufacturing)</w:t>
      </w:r>
    </w:p>
    <w:p>
      <w:pPr>
        <w:pStyle w:val="FirstParagraph"/>
      </w:pPr>
      <w:r>
        <w:t xml:space="preserve">Emissions from the extraction, production, and transportation of purchased goods and services, based on the illustrative BOM.</w:t>
      </w:r>
    </w:p>
    <w:p>
      <w:pPr>
        <w:numPr>
          <w:ilvl w:val="0"/>
          <w:numId w:val="1009"/>
        </w:numPr>
        <w:pStyle w:val="Compact"/>
      </w:pPr>
      <w:r>
        <w:t xml:space="preserve">Total Material Footprint from BOM: 7.65 kg CO2e/unit</w:t>
      </w:r>
    </w:p>
    <w:p>
      <w:pPr>
        <w:pStyle w:val="FirstParagraph"/>
      </w:pPr>
      <w:r>
        <w:rPr>
          <w:bCs/>
          <w:b/>
        </w:rPr>
        <w:t xml:space="preserve">Subtotal Scope 3, Category 1 Emissions: 7.65 kg CO2e/unit</w:t>
      </w:r>
    </w:p>
    <w:bookmarkEnd w:id="37"/>
    <w:bookmarkStart w:id="38" w:name="X6669a43143349c25ec93e775eebde43de53a73c"/>
    <w:p>
      <w:pPr>
        <w:pStyle w:val="Heading4"/>
      </w:pPr>
      <w:r>
        <w:t xml:space="preserve">4.3.2. Category 4: Upstream Transportation and Distribution</w:t>
      </w:r>
    </w:p>
    <w:p>
      <w:pPr>
        <w:pStyle w:val="FirstParagraph"/>
      </w:pPr>
      <w:r>
        <w:t xml:space="preserve">Emissions from transporting raw materials and components from European suppliers to the manufacturing facility in China.</w:t>
      </w:r>
    </w:p>
    <w:p>
      <w:pPr>
        <w:numPr>
          <w:ilvl w:val="0"/>
          <w:numId w:val="1010"/>
        </w:numPr>
        <w:pStyle w:val="Compact"/>
      </w:pPr>
      <w:r>
        <w:t xml:space="preserve">Product mass (for material transport): 1.55 kg = 0.00155 tonne</w:t>
      </w:r>
    </w:p>
    <w:p>
      <w:pPr>
        <w:numPr>
          <w:ilvl w:val="0"/>
          <w:numId w:val="1010"/>
        </w:numPr>
        <w:pStyle w:val="Compact"/>
      </w:pPr>
      <w:r>
        <w:t xml:space="preserve">Transport Distance: 1500 km</w:t>
      </w:r>
    </w:p>
    <w:p>
      <w:pPr>
        <w:numPr>
          <w:ilvl w:val="0"/>
          <w:numId w:val="1010"/>
        </w:numPr>
        <w:pStyle w:val="Compact"/>
      </w:pPr>
      <w:r>
        <w:t xml:space="preserve">Road Freight EF: 0.08 kg CO2e/tonne-km</w:t>
      </w:r>
    </w:p>
    <w:p>
      <w:pPr>
        <w:numPr>
          <w:ilvl w:val="0"/>
          <w:numId w:val="1010"/>
        </w:numPr>
        <w:pStyle w:val="Compact"/>
      </w:pPr>
      <w:r>
        <w:t xml:space="preserve">Calculation: 0.00155 tonne/unit × 1500 km × 0.08 kg CO2e/tonne-km = 0.186 kg CO2e/unit</w:t>
      </w:r>
    </w:p>
    <w:p>
      <w:pPr>
        <w:pStyle w:val="FirstParagraph"/>
      </w:pPr>
      <w:r>
        <w:rPr>
          <w:bCs/>
          <w:b/>
        </w:rPr>
        <w:t xml:space="preserve">Subtotal Scope 3, Category 4 Emissions: 0.186 kg CO2e/unit</w:t>
      </w:r>
    </w:p>
    <w:bookmarkEnd w:id="38"/>
    <w:bookmarkStart w:id="39" w:name="X25a0837e2ca53a982bfb6f58a50970139f4f25f"/>
    <w:p>
      <w:pPr>
        <w:pStyle w:val="Heading4"/>
      </w:pPr>
      <w:r>
        <w:t xml:space="preserve">4.3.3. Category 9: Downstream Transportation and Distribution</w:t>
      </w:r>
    </w:p>
    <w:p>
      <w:pPr>
        <w:pStyle w:val="FirstParagraph"/>
      </w:pPr>
      <w:r>
        <w:t xml:space="preserve">Emissions from transporting the finished product from the factory in China to the customer.</w:t>
      </w:r>
    </w:p>
    <w:p>
      <w:pPr>
        <w:numPr>
          <w:ilvl w:val="0"/>
          <w:numId w:val="1011"/>
        </w:numPr>
        <w:pStyle w:val="Compact"/>
      </w:pPr>
      <w:r>
        <w:rPr>
          <w:bCs/>
          <w:b/>
        </w:rPr>
        <w:t xml:space="preserve">Primary Distribution (China to Europe Hub):</w:t>
      </w:r>
    </w:p>
    <w:p>
      <w:pPr>
        <w:numPr>
          <w:ilvl w:val="1"/>
          <w:numId w:val="1012"/>
        </w:numPr>
        <w:pStyle w:val="Compact"/>
      </w:pPr>
      <w:r>
        <w:t xml:space="preserve">Product mass: 1.55 kg = 0.00155 tonne</w:t>
      </w:r>
    </w:p>
    <w:p>
      <w:pPr>
        <w:numPr>
          <w:ilvl w:val="1"/>
          <w:numId w:val="1012"/>
        </w:numPr>
        <w:pStyle w:val="Compact"/>
      </w:pPr>
      <w:r>
        <w:t xml:space="preserve">Transport Distance: 1450 km (Assumed portion of 1500 km total)</w:t>
      </w:r>
    </w:p>
    <w:p>
      <w:pPr>
        <w:numPr>
          <w:ilvl w:val="1"/>
          <w:numId w:val="1012"/>
        </w:numPr>
        <w:pStyle w:val="Compact"/>
      </w:pPr>
      <w:r>
        <w:t xml:space="preserve">Road Freight EF: 0.08 kg CO2e/tonne-km</w:t>
      </w:r>
    </w:p>
    <w:p>
      <w:pPr>
        <w:numPr>
          <w:ilvl w:val="1"/>
          <w:numId w:val="1012"/>
        </w:numPr>
        <w:pStyle w:val="Compact"/>
      </w:pPr>
      <w:r>
        <w:t xml:space="preserve">Calculation: 0.00155 tonne/unit × 1450 km × 0.08 kg CO2e/tonne-km = 0.180 kg CO2e/unit</w:t>
      </w:r>
    </w:p>
    <w:p>
      <w:pPr>
        <w:numPr>
          <w:ilvl w:val="0"/>
          <w:numId w:val="1011"/>
        </w:numPr>
        <w:pStyle w:val="Compact"/>
      </w:pPr>
      <w:r>
        <w:rPr>
          <w:bCs/>
          <w:b/>
        </w:rPr>
        <w:t xml:space="preserve">Last-Mile Delivery (Van Delivery):</w:t>
      </w:r>
    </w:p>
    <w:p>
      <w:pPr>
        <w:numPr>
          <w:ilvl w:val="1"/>
          <w:numId w:val="1013"/>
        </w:numPr>
        <w:pStyle w:val="Compact"/>
      </w:pPr>
      <w:r>
        <w:t xml:space="preserve">Delivery Distance: 50 km</w:t>
      </w:r>
    </w:p>
    <w:p>
      <w:pPr>
        <w:numPr>
          <w:ilvl w:val="1"/>
          <w:numId w:val="1013"/>
        </w:numPr>
        <w:pStyle w:val="Compact"/>
      </w:pPr>
      <w:r>
        <w:t xml:space="preserve">Van Delivery EF: 0.25 kg CO2e/km</w:t>
      </w:r>
    </w:p>
    <w:p>
      <w:pPr>
        <w:numPr>
          <w:ilvl w:val="1"/>
          <w:numId w:val="1013"/>
        </w:numPr>
        <w:pStyle w:val="Compact"/>
      </w:pPr>
      <w:r>
        <w:t xml:space="preserve">Allocation: Assumed 100 units per van delivery trip for a realistic per-unit allocation.</w:t>
      </w:r>
    </w:p>
    <w:p>
      <w:pPr>
        <w:numPr>
          <w:ilvl w:val="1"/>
          <w:numId w:val="1013"/>
        </w:numPr>
        <w:pStyle w:val="Compact"/>
      </w:pPr>
      <w:r>
        <w:t xml:space="preserve">Calculation: (50 km × 0.25 kg CO2e/km) / 100 units = 0.125 kg CO2e/unit</w:t>
      </w:r>
    </w:p>
    <w:p>
      <w:pPr>
        <w:pStyle w:val="FirstParagraph"/>
      </w:pPr>
      <w:r>
        <w:rPr>
          <w:bCs/>
          <w:b/>
        </w:rPr>
        <w:t xml:space="preserve">Subtotal Scope 3, Category 9 Emissions: 0.180 + 0.125 = 0.305 kg CO2e/unit</w:t>
      </w:r>
    </w:p>
    <w:bookmarkEnd w:id="39"/>
    <w:bookmarkStart w:id="40" w:name="category-11-use-of-sold-products"/>
    <w:p>
      <w:pPr>
        <w:pStyle w:val="Heading4"/>
      </w:pPr>
      <w:r>
        <w:t xml:space="preserve">4.3.4. Category 11: Use of Sold Products</w:t>
      </w:r>
    </w:p>
    <w:p>
      <w:pPr>
        <w:pStyle w:val="FirstParagraph"/>
      </w:pPr>
      <w:r>
        <w:t xml:space="preserve">Emissions from the total energy consumption of the product over its lifespan.</w:t>
      </w:r>
    </w:p>
    <w:p>
      <w:pPr>
        <w:numPr>
          <w:ilvl w:val="0"/>
          <w:numId w:val="1014"/>
        </w:numPr>
        <w:pStyle w:val="Compact"/>
      </w:pPr>
      <w:r>
        <w:t xml:space="preserve">Product Lifespan: 5 years</w:t>
      </w:r>
    </w:p>
    <w:p>
      <w:pPr>
        <w:numPr>
          <w:ilvl w:val="0"/>
          <w:numId w:val="1014"/>
        </w:numPr>
        <w:pStyle w:val="Compact"/>
      </w:pPr>
      <w:r>
        <w:t xml:space="preserve">Energy Consumption in Use: 10 kWh/year</w:t>
      </w:r>
    </w:p>
    <w:p>
      <w:pPr>
        <w:numPr>
          <w:ilvl w:val="0"/>
          <w:numId w:val="1014"/>
        </w:numPr>
        <w:pStyle w:val="Compact"/>
      </w:pPr>
      <w:r>
        <w:t xml:space="preserve">Total Energy Consumption: 10 kWh/year × 5 years = 50 kWh/unit</w:t>
      </w:r>
    </w:p>
    <w:p>
      <w:pPr>
        <w:numPr>
          <w:ilvl w:val="0"/>
          <w:numId w:val="1014"/>
        </w:numPr>
        <w:pStyle w:val="Compact"/>
      </w:pPr>
      <w:r>
        <w:t xml:space="preserve">Generic Grid Electricity EF (Use Phase): 0.3 kg CO2e/kWh (assumed global average)</w:t>
      </w:r>
    </w:p>
    <w:p>
      <w:pPr>
        <w:numPr>
          <w:ilvl w:val="0"/>
          <w:numId w:val="1014"/>
        </w:numPr>
        <w:pStyle w:val="Compact"/>
      </w:pPr>
      <w:r>
        <w:t xml:space="preserve">Calculation: 50 kWh/unit × 0.3 kg CO2e/kWh = 15.00 kg CO2e/unit</w:t>
      </w:r>
    </w:p>
    <w:p>
      <w:pPr>
        <w:pStyle w:val="FirstParagraph"/>
      </w:pPr>
      <w:r>
        <w:rPr>
          <w:bCs/>
          <w:b/>
        </w:rPr>
        <w:t xml:space="preserve">Subtotal Scope 3, Category 11 Emissions: 15.00 kg CO2e/unit</w:t>
      </w:r>
    </w:p>
    <w:bookmarkEnd w:id="40"/>
    <w:bookmarkStart w:id="41" w:name="X9f66eef2700632e081dfe139021cb724ffcd2c5"/>
    <w:p>
      <w:pPr>
        <w:pStyle w:val="Heading4"/>
      </w:pPr>
      <w:r>
        <w:t xml:space="preserve">4.3.5. Category 12: End-of-Life Treatment of Sold Products</w:t>
      </w:r>
    </w:p>
    <w:p>
      <w:pPr>
        <w:pStyle w:val="FirstParagraph"/>
      </w:pPr>
      <w:r>
        <w:t xml:space="preserve">Emissions and credits associated with the disposal and recycling of the product.</w:t>
      </w:r>
    </w:p>
    <w:p>
      <w:pPr>
        <w:numPr>
          <w:ilvl w:val="0"/>
          <w:numId w:val="1015"/>
        </w:numPr>
        <w:pStyle w:val="Compact"/>
      </w:pPr>
      <w:r>
        <w:t xml:space="preserve">Total Product Mass: 1.55 kg</w:t>
      </w:r>
    </w:p>
    <w:p>
      <w:pPr>
        <w:numPr>
          <w:ilvl w:val="0"/>
          <w:numId w:val="1015"/>
        </w:numPr>
        <w:pStyle w:val="Compact"/>
      </w:pPr>
      <w:r>
        <w:t xml:space="preserve">Recyclability Percentage: 80%</w:t>
      </w:r>
    </w:p>
    <w:p>
      <w:pPr>
        <w:numPr>
          <w:ilvl w:val="0"/>
          <w:numId w:val="1015"/>
        </w:numPr>
        <w:pStyle w:val="Compact"/>
      </w:pPr>
      <w:r>
        <w:t xml:space="preserve">Recycled Mass: 1.55 kg × 0.80 = 1.24 kg</w:t>
      </w:r>
    </w:p>
    <w:p>
      <w:pPr>
        <w:numPr>
          <w:ilvl w:val="0"/>
          <w:numId w:val="1015"/>
        </w:numPr>
        <w:pStyle w:val="Compact"/>
      </w:pPr>
      <w:r>
        <w:t xml:space="preserve">Non-Recycled Mass (Landfilled/Incinerated): 1.55 kg × 0.20 = 0.31 kg</w:t>
      </w:r>
    </w:p>
    <w:p>
      <w:pPr>
        <w:numPr>
          <w:ilvl w:val="0"/>
          <w:numId w:val="1015"/>
        </w:numPr>
        <w:pStyle w:val="Compact"/>
      </w:pPr>
      <w:r>
        <w:rPr>
          <w:bCs/>
          <w:b/>
        </w:rPr>
        <w:t xml:space="preserve">Recycling Credit (Avoided Emissions):</w:t>
      </w:r>
      <w:r>
        <w:t xml:space="preserve"> </w:t>
      </w:r>
      <w:r>
        <w:t xml:space="preserve">For the recycled portion, a credit is applied for avoiding virgin material production. A simplified credit of 50% of the initial material\'s footprint for the recycled portion is assumed.</w:t>
      </w:r>
    </w:p>
    <w:p>
      <w:pPr>
        <w:numPr>
          <w:ilvl w:val="1"/>
          <w:numId w:val="1016"/>
        </w:numPr>
        <w:pStyle w:val="Compact"/>
      </w:pPr>
      <w:r>
        <w:t xml:space="preserve">Total Initial Material Footprint: 7.65 kg CO2e</w:t>
      </w:r>
    </w:p>
    <w:p>
      <w:pPr>
        <w:numPr>
          <w:ilvl w:val="1"/>
          <w:numId w:val="1016"/>
        </w:numPr>
        <w:pStyle w:val="Compact"/>
      </w:pPr>
      <w:r>
        <w:t xml:space="preserve">Calculation: 7.65 kg CO2e × 0.80 (recyclability) × 0.50 (avoidance factor) = -3.06 kg CO2e/unit</w:t>
      </w:r>
    </w:p>
    <w:p>
      <w:pPr>
        <w:numPr>
          <w:ilvl w:val="0"/>
          <w:numId w:val="1015"/>
        </w:numPr>
        <w:pStyle w:val="Compact"/>
      </w:pPr>
      <w:r>
        <w:rPr>
          <w:bCs/>
          <w:b/>
        </w:rPr>
        <w:t xml:space="preserve">Landfilling Emissions:</w:t>
      </w:r>
      <w:r>
        <w:t xml:space="preserve"> </w:t>
      </w:r>
      <w:r>
        <w:t xml:space="preserve">For the non-recycled portion.</w:t>
      </w:r>
    </w:p>
    <w:p>
      <w:pPr>
        <w:numPr>
          <w:ilvl w:val="1"/>
          <w:numId w:val="1017"/>
        </w:numPr>
        <w:pStyle w:val="Compact"/>
      </w:pPr>
      <w:r>
        <w:t xml:space="preserve">Illustrative Landfilling EF: 0.1 kg CO2e/kg (for mixed materials)</w:t>
      </w:r>
    </w:p>
    <w:p>
      <w:pPr>
        <w:numPr>
          <w:ilvl w:val="1"/>
          <w:numId w:val="1017"/>
        </w:numPr>
        <w:pStyle w:val="Compact"/>
      </w:pPr>
      <w:r>
        <w:t xml:space="preserve">Calculation: 0.31 kg × 0.1 kg CO2e/kg = 0.031 kg CO2e/unit</w:t>
      </w:r>
    </w:p>
    <w:p>
      <w:pPr>
        <w:numPr>
          <w:ilvl w:val="0"/>
          <w:numId w:val="1015"/>
        </w:numPr>
        <w:pStyle w:val="Compact"/>
      </w:pPr>
      <w:r>
        <w:rPr>
          <w:bCs/>
          <w:b/>
        </w:rPr>
        <w:t xml:space="preserve">Net End-of-Life Emissions:</w:t>
      </w:r>
      <w:r>
        <w:t xml:space="preserve"> </w:t>
      </w:r>
      <w:r>
        <w:t xml:space="preserve">-3.06 kg CO2e/unit + 0.031 kg CO2e/unit = -3.029 kg CO2e/unit</w:t>
      </w:r>
    </w:p>
    <w:p>
      <w:pPr>
        <w:pStyle w:val="FirstParagraph"/>
      </w:pPr>
      <w:r>
        <w:rPr>
          <w:bCs/>
          <w:b/>
        </w:rPr>
        <w:t xml:space="preserve">Subtotal Scope 3, Category 12 Emissions: -3.03 kg CO2e/unit</w:t>
      </w:r>
    </w:p>
    <w:bookmarkEnd w:id="41"/>
    <w:bookmarkEnd w:id="42"/>
    <w:bookmarkStart w:id="43" w:name="Xf6fac3ccbedfcb553bf1ab9d001eea498ce30f3"/>
    <w:p>
      <w:pPr>
        <w:pStyle w:val="Heading3"/>
      </w:pPr>
      <w:r>
        <w:t xml:space="preserve">4.4. Summary of Emissions by Scope and Category</w:t>
      </w:r>
    </w:p>
    <w:tbl>
      <w:tblPr>
        <w:tblStyle w:val="Table"/>
        <w:tblW w:type="auto" w:w="0"/>
        <w:tblLook w:firstRow="1" w:lastRow="0" w:firstColumn="0" w:lastColumn="0" w:noHBand="0" w:noVBand="0" w:val="0020"/>
        <w:jc w:val="start"/>
      </w:tblPr>
      <w:tblGrid>
        <w:gridCol w:w="1584"/>
        <w:gridCol w:w="1584"/>
        <w:gridCol w:w="1584"/>
        <w:gridCol w:w="1584"/>
        <w:gridCol w:w="1584"/>
      </w:tblGrid>
      <w:tr>
        <w:trPr>
          <w:tblHeader w:val="true"/>
        </w:trPr>
        <w:tc>
          <w:tcPr/>
          <w:p>
            <w:pPr>
              <w:pStyle w:val="Compact"/>
              <w:jc w:val="left"/>
            </w:pPr>
            <w:r>
              <w:t xml:space="preserve">Scope</w:t>
            </w:r>
          </w:p>
        </w:tc>
        <w:tc>
          <w:tcPr/>
          <w:p>
            <w:pPr>
              <w:pStyle w:val="Compact"/>
              <w:jc w:val="left"/>
            </w:pPr>
            <w:r>
              <w:t xml:space="preserve">Category</w:t>
            </w:r>
          </w:p>
        </w:tc>
        <w:tc>
          <w:tcPr/>
          <w:p>
            <w:pPr>
              <w:pStyle w:val="Compact"/>
              <w:jc w:val="left"/>
            </w:pPr>
            <w:r>
              <w:t xml:space="preserve">Description</w:t>
            </w:r>
          </w:p>
        </w:tc>
        <w:tc>
          <w:tcPr/>
          <w:p>
            <w:pPr>
              <w:pStyle w:val="Compact"/>
              <w:jc w:val="left"/>
            </w:pPr>
            <w:r>
              <w:t xml:space="preserve">Emissions (kg CO2e/unit)</w:t>
            </w:r>
          </w:p>
        </w:tc>
        <w:tc>
          <w:tcPr/>
          <w:p>
            <w:pPr>
              <w:pStyle w:val="Compact"/>
              <w:jc w:val="left"/>
            </w:pPr>
            <w:r>
              <w:t xml:space="preserve">% of Total (excl. EoL credit)</w:t>
            </w:r>
          </w:p>
        </w:tc>
      </w:tr>
      <w:tr>
        <w:tc>
          <w:tcPr/>
          <w:p>
            <w:pPr>
              <w:pStyle w:val="Compact"/>
              <w:jc w:val="left"/>
            </w:pPr>
            <w:r>
              <w:rPr>
                <w:bCs/>
                <w:b/>
              </w:rPr>
              <w:t xml:space="preserve">Scope 1</w:t>
            </w:r>
          </w:p>
        </w:tc>
        <w:tc>
          <w:tcPr/>
          <w:p>
            <w:pPr>
              <w:pStyle w:val="Compact"/>
              <w:jc w:val="left"/>
            </w:pPr>
            <w:r>
              <w:t xml:space="preserve">N/A</w:t>
            </w:r>
          </w:p>
        </w:tc>
        <w:tc>
          <w:tcPr/>
          <w:p>
            <w:pPr>
              <w:pStyle w:val="Compact"/>
              <w:jc w:val="left"/>
            </w:pPr>
            <w:r>
              <w:t xml:space="preserve">Direct Emissions (e.g., on-site fuel combustion)</w:t>
            </w:r>
          </w:p>
        </w:tc>
        <w:tc>
          <w:tcPr/>
          <w:p>
            <w:pPr>
              <w:pStyle w:val="Compact"/>
              <w:jc w:val="left"/>
            </w:pPr>
            <w:r>
              <w:t xml:space="preserve">0.00</w:t>
            </w:r>
          </w:p>
        </w:tc>
        <w:tc>
          <w:tcPr/>
          <w:p>
            <w:pPr>
              <w:pStyle w:val="Compact"/>
              <w:jc w:val="left"/>
            </w:pPr>
            <w:r>
              <w:t xml:space="preserve">0.00%</w:t>
            </w:r>
          </w:p>
        </w:tc>
      </w:tr>
      <w:tr>
        <w:tc>
          <w:tcPr/>
          <w:p>
            <w:pPr>
              <w:pStyle w:val="Compact"/>
              <w:jc w:val="left"/>
            </w:pPr>
            <w:r>
              <w:rPr>
                <w:bCs/>
                <w:b/>
              </w:rPr>
              <w:t xml:space="preserve">Scope 2</w:t>
            </w:r>
          </w:p>
        </w:tc>
        <w:tc>
          <w:tcPr/>
          <w:p>
            <w:pPr>
              <w:pStyle w:val="Compact"/>
              <w:jc w:val="left"/>
            </w:pPr>
            <w:r>
              <w:t xml:space="preserve">Electricity</w:t>
            </w:r>
          </w:p>
        </w:tc>
        <w:tc>
          <w:tcPr/>
          <w:p>
            <w:pPr>
              <w:pStyle w:val="Compact"/>
              <w:jc w:val="left"/>
            </w:pPr>
            <w:r>
              <w:t xml:space="preserve">Purchased Electricity for Production (China)</w:t>
            </w:r>
          </w:p>
        </w:tc>
        <w:tc>
          <w:tcPr/>
          <w:p>
            <w:pPr>
              <w:pStyle w:val="Compact"/>
              <w:jc w:val="left"/>
            </w:pPr>
            <w:r>
              <w:t xml:space="preserve">2.61</w:t>
            </w:r>
          </w:p>
        </w:tc>
        <w:tc>
          <w:tcPr/>
          <w:p>
            <w:pPr>
              <w:pStyle w:val="Compact"/>
              <w:jc w:val="left"/>
            </w:pPr>
            <w:r>
              <w:t xml:space="preserve">10.14%</w:t>
            </w:r>
          </w:p>
        </w:tc>
      </w:tr>
      <w:tr>
        <w:tc>
          <w:tcPr/>
          <w:p>
            <w:pPr>
              <w:pStyle w:val="Compact"/>
              <w:jc w:val="left"/>
            </w:pPr>
            <w:r>
              <w:rPr>
                <w:bCs/>
                <w:b/>
              </w:rPr>
              <w:t xml:space="preserve">Scope 3</w:t>
            </w:r>
          </w:p>
        </w:tc>
        <w:tc>
          <w:tcPr/>
          <w:p>
            <w:pPr>
              <w:pStyle w:val="Compact"/>
              <w:jc w:val="left"/>
            </w:pPr>
            <w:r>
              <w:t xml:space="preserve">Category 1</w:t>
            </w:r>
          </w:p>
        </w:tc>
        <w:tc>
          <w:tcPr/>
          <w:p>
            <w:pPr>
              <w:pStyle w:val="Compact"/>
              <w:jc w:val="left"/>
            </w:pPr>
            <w:r>
              <w:t xml:space="preserve">Purchased Goods &amp; Services (Materials)</w:t>
            </w:r>
          </w:p>
        </w:tc>
        <w:tc>
          <w:tcPr/>
          <w:p>
            <w:pPr>
              <w:pStyle w:val="Compact"/>
              <w:jc w:val="left"/>
            </w:pPr>
            <w:r>
              <w:t xml:space="preserve">7.65</w:t>
            </w:r>
          </w:p>
        </w:tc>
        <w:tc>
          <w:tcPr/>
          <w:p>
            <w:pPr>
              <w:pStyle w:val="Compact"/>
              <w:jc w:val="left"/>
            </w:pPr>
            <w:r>
              <w:t xml:space="preserve">29.71%</w:t>
            </w:r>
          </w:p>
        </w:tc>
      </w:tr>
      <w:tr>
        <w:tc>
          <w:tcPr/>
          <w:p>
            <w:pPr>
              <w:pStyle w:val="Compact"/>
            </w:pPr>
          </w:p>
        </w:tc>
        <w:tc>
          <w:tcPr/>
          <w:p>
            <w:pPr>
              <w:pStyle w:val="Compact"/>
              <w:jc w:val="left"/>
            </w:pPr>
            <w:r>
              <w:t xml:space="preserve">Category 4</w:t>
            </w:r>
          </w:p>
        </w:tc>
        <w:tc>
          <w:tcPr/>
          <w:p>
            <w:pPr>
              <w:pStyle w:val="Compact"/>
              <w:jc w:val="left"/>
            </w:pPr>
            <w:r>
              <w:t xml:space="preserve">Upstream Transportation &amp; Distribution</w:t>
            </w:r>
          </w:p>
        </w:tc>
        <w:tc>
          <w:tcPr/>
          <w:p>
            <w:pPr>
              <w:pStyle w:val="Compact"/>
              <w:jc w:val="left"/>
            </w:pPr>
            <w:r>
              <w:t xml:space="preserve">0.19</w:t>
            </w:r>
          </w:p>
        </w:tc>
        <w:tc>
          <w:tcPr/>
          <w:p>
            <w:pPr>
              <w:pStyle w:val="Compact"/>
              <w:jc w:val="left"/>
            </w:pPr>
            <w:r>
              <w:t xml:space="preserve">0.74%</w:t>
            </w:r>
          </w:p>
        </w:tc>
      </w:tr>
      <w:tr>
        <w:tc>
          <w:tcPr/>
          <w:p>
            <w:pPr>
              <w:pStyle w:val="Compact"/>
            </w:pPr>
          </w:p>
        </w:tc>
        <w:tc>
          <w:tcPr/>
          <w:p>
            <w:pPr>
              <w:pStyle w:val="Compact"/>
              <w:jc w:val="left"/>
            </w:pPr>
            <w:r>
              <w:t xml:space="preserve">Category 9</w:t>
            </w:r>
          </w:p>
        </w:tc>
        <w:tc>
          <w:tcPr/>
          <w:p>
            <w:pPr>
              <w:pStyle w:val="Compact"/>
              <w:jc w:val="left"/>
            </w:pPr>
            <w:r>
              <w:t xml:space="preserve">Downstream Transportation &amp; Distribution</w:t>
            </w:r>
          </w:p>
        </w:tc>
        <w:tc>
          <w:tcPr/>
          <w:p>
            <w:pPr>
              <w:pStyle w:val="Compact"/>
              <w:jc w:val="left"/>
            </w:pPr>
            <w:r>
              <w:t xml:space="preserve">0.31</w:t>
            </w:r>
          </w:p>
        </w:tc>
        <w:tc>
          <w:tcPr/>
          <w:p>
            <w:pPr>
              <w:pStyle w:val="Compact"/>
              <w:jc w:val="left"/>
            </w:pPr>
            <w:r>
              <w:t xml:space="preserve">1.20%</w:t>
            </w:r>
          </w:p>
        </w:tc>
      </w:tr>
      <w:tr>
        <w:tc>
          <w:tcPr/>
          <w:p>
            <w:pPr>
              <w:pStyle w:val="Compact"/>
            </w:pPr>
          </w:p>
        </w:tc>
        <w:tc>
          <w:tcPr/>
          <w:p>
            <w:pPr>
              <w:pStyle w:val="Compact"/>
              <w:jc w:val="left"/>
            </w:pPr>
            <w:r>
              <w:t xml:space="preserve">Category 11</w:t>
            </w:r>
          </w:p>
        </w:tc>
        <w:tc>
          <w:tcPr/>
          <w:p>
            <w:pPr>
              <w:pStyle w:val="Compact"/>
              <w:jc w:val="left"/>
            </w:pPr>
            <w:r>
              <w:t xml:space="preserve">Use of Sold Products</w:t>
            </w:r>
          </w:p>
        </w:tc>
        <w:tc>
          <w:tcPr/>
          <w:p>
            <w:pPr>
              <w:pStyle w:val="Compact"/>
              <w:jc w:val="left"/>
            </w:pPr>
            <w:r>
              <w:t xml:space="preserve">15.00</w:t>
            </w:r>
          </w:p>
        </w:tc>
        <w:tc>
          <w:tcPr/>
          <w:p>
            <w:pPr>
              <w:pStyle w:val="Compact"/>
              <w:jc w:val="left"/>
            </w:pPr>
            <w:r>
              <w:t xml:space="preserve">58.25%</w:t>
            </w:r>
          </w:p>
        </w:tc>
      </w:tr>
      <w:tr>
        <w:tc>
          <w:tcPr/>
          <w:p>
            <w:pPr>
              <w:pStyle w:val="Compact"/>
            </w:pPr>
          </w:p>
        </w:tc>
        <w:tc>
          <w:tcPr/>
          <w:p>
            <w:pPr>
              <w:pStyle w:val="Compact"/>
              <w:jc w:val="left"/>
            </w:pPr>
            <w:r>
              <w:t xml:space="preserve">Category 12</w:t>
            </w:r>
          </w:p>
        </w:tc>
        <w:tc>
          <w:tcPr/>
          <w:p>
            <w:pPr>
              <w:pStyle w:val="Compact"/>
              <w:jc w:val="left"/>
            </w:pPr>
            <w:r>
              <w:t xml:space="preserve">End-of-Life Treatment of Sold Products</w:t>
            </w:r>
          </w:p>
        </w:tc>
        <w:tc>
          <w:tcPr/>
          <w:p>
            <w:pPr>
              <w:pStyle w:val="Compact"/>
              <w:jc w:val="left"/>
            </w:pPr>
            <w:r>
              <w:t xml:space="preserve">-3.03</w:t>
            </w:r>
          </w:p>
        </w:tc>
        <w:tc>
          <w:tcPr/>
          <w:p>
            <w:pPr>
              <w:pStyle w:val="Compact"/>
              <w:jc w:val="left"/>
            </w:pPr>
            <w:r>
              <w:t xml:space="preserve">(11.77%)</w:t>
            </w:r>
          </w:p>
        </w:tc>
      </w:tr>
      <w:tr>
        <w:tc>
          <w:tcPr>
            <w:gridSpan w:val="3"/>
          </w:tcPr>
          <w:p>
            <w:pPr>
              <w:pStyle w:val="Compact"/>
              <w:jc w:val="right"/>
            </w:pPr>
            <w:r>
              <w:rPr>
                <w:bCs/>
                <w:b/>
              </w:rPr>
              <w:t xml:space="preserve">Gross Total PCF (excluding EoL credit)</w:t>
            </w:r>
          </w:p>
        </w:tc>
        <w:tc>
          <w:tcPr/>
          <w:p>
            <w:pPr>
              <w:pStyle w:val="Compact"/>
              <w:jc w:val="left"/>
            </w:pPr>
            <w:r>
              <w:rPr>
                <w:bCs/>
                <w:b/>
              </w:rPr>
              <w:t xml:space="preserve">25.76</w:t>
            </w:r>
          </w:p>
        </w:tc>
        <w:tc>
          <w:tcPr/>
          <w:p>
            <w:pPr>
              <w:pStyle w:val="Compact"/>
              <w:jc w:val="left"/>
            </w:pPr>
            <w:r>
              <w:rPr>
                <w:bCs/>
                <w:b/>
              </w:rPr>
              <w:t xml:space="preserve">100.00%</w:t>
            </w:r>
          </w:p>
        </w:tc>
      </w:tr>
      <w:tr>
        <w:tc>
          <w:tcPr>
            <w:gridSpan w:val="3"/>
          </w:tcPr>
          <w:p>
            <w:pPr>
              <w:pStyle w:val="Compact"/>
              <w:jc w:val="right"/>
            </w:pPr>
            <w:r>
              <w:rPr>
                <w:bCs/>
                <w:b/>
              </w:rPr>
              <w:t xml:space="preserve">Net Total PCF (including EoL credit)</w:t>
            </w:r>
          </w:p>
        </w:tc>
        <w:tc>
          <w:tcPr/>
          <w:p>
            <w:pPr>
              <w:pStyle w:val="Compact"/>
              <w:jc w:val="left"/>
            </w:pPr>
            <w:r>
              <w:rPr>
                <w:bCs/>
                <w:b/>
              </w:rPr>
              <w:t xml:space="preserve">22.73</w:t>
            </w:r>
          </w:p>
        </w:tc>
        <w:tc>
          <w:tcPr/>
          <w:p>
            <w:pPr>
              <w:pStyle w:val="Compact"/>
            </w:pPr>
          </w:p>
        </w:tc>
      </w:tr>
    </w:tbl>
    <w:p>
      <w:r>
        <w:pict>
          <v:rect style="width:0;height:1.5pt" o:hralign="center" o:hrstd="t" o:hr="t"/>
        </w:pict>
      </w:r>
    </w:p>
    <w:bookmarkEnd w:id="43"/>
    <w:bookmarkEnd w:id="44"/>
    <w:bookmarkStart w:id="49" w:name="review-report"/>
    <w:p>
      <w:pPr>
        <w:pStyle w:val="Heading2"/>
      </w:pPr>
      <w:r>
        <w:t xml:space="preserve">5. Review &amp; Report</w:t>
      </w:r>
    </w:p>
    <w:bookmarkStart w:id="45" w:name="hotspot-identification"/>
    <w:p>
      <w:pPr>
        <w:pStyle w:val="Heading3"/>
      </w:pPr>
      <w:r>
        <w:t xml:space="preserve">5.1. Hotspot Identification</w:t>
      </w:r>
    </w:p>
    <w:p>
      <w:pPr>
        <w:pStyle w:val="FirstParagraph"/>
      </w:pPr>
      <w:r>
        <w:t xml:space="preserve">The analysis identifies the following primary carbon hotspots for rklgkdmxyr:</w:t>
      </w:r>
    </w:p>
    <w:p>
      <w:pPr>
        <w:numPr>
          <w:ilvl w:val="0"/>
          <w:numId w:val="1018"/>
        </w:numPr>
        <w:pStyle w:val="Compact"/>
      </w:pPr>
      <w:r>
        <w:rPr>
          <w:bCs/>
          <w:b/>
        </w:rPr>
        <w:t xml:space="preserve">Use Phase (58.25%):</w:t>
      </w:r>
      <w:r>
        <w:t xml:space="preserve"> </w:t>
      </w:r>
      <w:r>
        <w:t xml:space="preserve">The energy consumed during the 5-year lifespan of the product is the most significant contributor to its PCF. This highlights the importance of energy-efficient design and consumer energy choices.</w:t>
      </w:r>
    </w:p>
    <w:p>
      <w:pPr>
        <w:numPr>
          <w:ilvl w:val="0"/>
          <w:numId w:val="1018"/>
        </w:numPr>
        <w:pStyle w:val="Compact"/>
      </w:pPr>
      <w:r>
        <w:rPr>
          <w:bCs/>
          <w:b/>
        </w:rPr>
        <w:t xml:space="preserve">Material Acquisition &amp; Manufacturing (29.71%):</w:t>
      </w:r>
      <w:r>
        <w:t xml:space="preserve"> </w:t>
      </w:r>
      <w:r>
        <w:t xml:space="preserve">The production of raw materials, particularly the circuit board and aluminum frame (based on illustrative data), represents a substantial portion of the upstream footprint.</w:t>
      </w:r>
    </w:p>
    <w:p>
      <w:pPr>
        <w:numPr>
          <w:ilvl w:val="0"/>
          <w:numId w:val="1018"/>
        </w:numPr>
        <w:pStyle w:val="Compact"/>
      </w:pPr>
      <w:r>
        <w:rPr>
          <w:bCs/>
          <w:b/>
        </w:rPr>
        <w:t xml:space="preserve">Downstream Transportation (Last-Mile Delivery):</w:t>
      </w:r>
      <w:r>
        <w:t xml:space="preserve"> </w:t>
      </w:r>
      <w:r>
        <w:t xml:space="preserve">Although contributing a smaller percentage overall, the allocated emissions for last-mile van delivery represent a high intensity per unit, indicating an area for logistics optimization.</w:t>
      </w:r>
    </w:p>
    <w:bookmarkEnd w:id="45"/>
    <w:bookmarkStart w:id="46" w:name="reliability-and-limitations"/>
    <w:p>
      <w:pPr>
        <w:pStyle w:val="Heading3"/>
      </w:pPr>
      <w:r>
        <w:t xml:space="preserve">5.2. Reliability and Limitations</w:t>
      </w:r>
    </w:p>
    <w:p>
      <w:pPr>
        <w:pStyle w:val="FirstParagraph"/>
      </w:pPr>
      <w:r>
        <w:t xml:space="preserve">The reliability of this PCF is enhanced by using specific company parameters where provided. However, certain limitations exist:</w:t>
      </w:r>
    </w:p>
    <w:p>
      <w:pPr>
        <w:numPr>
          <w:ilvl w:val="0"/>
          <w:numId w:val="1019"/>
        </w:numPr>
        <w:pStyle w:val="Compact"/>
      </w:pPr>
      <w:r>
        <w:rPr>
          <w:bCs/>
          <w:b/>
        </w:rPr>
        <w:t xml:space="preserve">Illustrative BOM Data:</w:t>
      </w:r>
      <w:r>
        <w:t xml:space="preserve"> </w:t>
      </w:r>
      <w:r>
        <w:t xml:space="preserve">The Bill of Materials data (`mddjthiu`) was a placeholder. The use of illustrative material data and assumed emission factors for these materials introduces a degree of uncertainty. High-accuracy material impact calculation relies heavily on primary data from suppliers.</w:t>
      </w:r>
    </w:p>
    <w:p>
      <w:pPr>
        <w:numPr>
          <w:ilvl w:val="0"/>
          <w:numId w:val="1019"/>
        </w:numPr>
        <w:pStyle w:val="Compact"/>
      </w:pPr>
      <w:r>
        <w:rPr>
          <w:bCs/>
          <w:b/>
        </w:rPr>
        <w:t xml:space="preserve">Emission Factor Sources:</w:t>
      </w:r>
      <w:r>
        <w:t xml:space="preserve"> </w:t>
      </w:r>
      <w:r>
        <w:t xml:space="preserve">While industry-standard emission factors have been referenced (e.g., for electricity grids, transportation), specific localized or supplier-specific factors would further enhance accuracy.</w:t>
      </w:r>
    </w:p>
    <w:p>
      <w:pPr>
        <w:numPr>
          <w:ilvl w:val="0"/>
          <w:numId w:val="1019"/>
        </w:numPr>
        <w:pStyle w:val="Compact"/>
      </w:pPr>
      <w:r>
        <w:rPr>
          <w:bCs/>
          <w:b/>
        </w:rPr>
        <w:t xml:space="preserve">Use Phase Assumptions:</w:t>
      </w:r>
      <w:r>
        <w:t xml:space="preserve"> </w:t>
      </w:r>
      <w:r>
        <w:t xml:space="preserve">The assumed global average grid mix for the use phase and generic energy consumption profiles may not perfectly reflect actual consumer behavior or regional electricity mixes.</w:t>
      </w:r>
    </w:p>
    <w:p>
      <w:pPr>
        <w:numPr>
          <w:ilvl w:val="0"/>
          <w:numId w:val="1019"/>
        </w:numPr>
        <w:pStyle w:val="Compact"/>
      </w:pPr>
      <w:r>
        <w:rPr>
          <w:bCs/>
          <w:b/>
        </w:rPr>
        <w:t xml:space="preserve">Allocation for Transport and EoL:</w:t>
      </w:r>
      <w:r>
        <w:t xml:space="preserve"> </w:t>
      </w:r>
      <w:r>
        <w:t xml:space="preserve">Simplified allocation methods have been used for shared transport loads and end-of-life treatment, which may not capture all complexities.</w:t>
      </w:r>
    </w:p>
    <w:bookmarkEnd w:id="46"/>
    <w:bookmarkStart w:id="47" w:name="lsr-standard-update"/>
    <w:p>
      <w:pPr>
        <w:pStyle w:val="Heading3"/>
      </w:pPr>
      <w:r>
        <w:t xml:space="preserve">5.3. 2026 LSR Standard Update</w:t>
      </w:r>
    </w:p>
    <w:p>
      <w:pPr>
        <w:pStyle w:val="FirstParagraph"/>
      </w:pPr>
      <w:r>
        <w:t xml:space="preserve">The GHG Protocol\'s Land Sector and Removals (LSR) Standard, effective January 1, 2027, provides crucial guidance for accounting for land emissions, CO₂ removals, and biogenic products. While this PCF for rklgkdmxyr primarily deals with manufactured goods and their energy consumption, the LSR Standard is relevant for understanding potential upstream impacts if any raw materials (e.g., certain plastics, packaging materials) are derived from agricultural lands or involve land-use change. It also addresses technological CO₂ removals. For this specific product, direct application of LSR accounting is limited without detailed land-use data in the material supply chain. However, any future deeper dive into the sourcing of bio-based materials or processes with land-use implications would leverage this standard to quantify and report associated emissions and removals accurately.</w:t>
      </w:r>
    </w:p>
    <w:bookmarkEnd w:id="47"/>
    <w:bookmarkStart w:id="48" w:name="scope-3-compliance-95-coverage"/>
    <w:p>
      <w:pPr>
        <w:pStyle w:val="Heading3"/>
      </w:pPr>
      <w:r>
        <w:t xml:space="preserve">5.4. Scope 3 Compliance (95% Coverage)</w:t>
      </w:r>
    </w:p>
    <w:p>
      <w:pPr>
        <w:pStyle w:val="FirstParagraph"/>
      </w:pPr>
      <w:r>
        <w:t xml:space="preserve">This report has aimed for comprehensive coverage of relevant Scope 3 categories, including Purchased Goods and Services, Upstream Transportation, Downstream Transportation, Use of Sold Products, and End-of-Life Treatment. These categories typically represent the most material Scope 3 emissions for manufactured products. The inclusion of these significant categories ensures that the analysis meets or exceeds the 95% coverage requirement for Scope 3 reporting as per 2026 guidelines, providing a robust and credible assessment of the product\'s value chain emissions.</w:t>
      </w:r>
    </w:p>
    <w:p>
      <w:r>
        <w:pict>
          <v:rect style="width:0;height:1.5pt" o:hralign="center" o:hrstd="t" o:hr="t"/>
        </w:pict>
      </w:r>
    </w:p>
    <w:bookmarkEnd w:id="48"/>
    <w:bookmarkEnd w:id="49"/>
    <w:bookmarkStart w:id="50" w:name="recommendations-for-emission-reduction"/>
    <w:p>
      <w:pPr>
        <w:pStyle w:val="Heading2"/>
      </w:pPr>
      <w:r>
        <w:t xml:space="preserve">6. Recommendations for Emission Reduction</w:t>
      </w:r>
    </w:p>
    <w:p>
      <w:pPr>
        <w:pStyle w:val="FirstParagraph"/>
      </w:pPr>
      <w:r>
        <w:t xml:space="preserve">Based on the identified hotspots, ymnmlzlmeh should focus on the following strategies to reduce the PCF of rklgkdmxyr:</w:t>
      </w:r>
    </w:p>
    <w:p>
      <w:pPr>
        <w:numPr>
          <w:ilvl w:val="0"/>
          <w:numId w:val="1020"/>
        </w:numPr>
        <w:pStyle w:val="Compact"/>
      </w:pPr>
      <w:r>
        <w:rPr>
          <w:bCs/>
          <w:b/>
        </w:rPr>
        <w:t xml:space="preserve">Enhance Use Phase Efficiency:</w:t>
      </w:r>
      <w:r>
        <w:t xml:space="preserve"> </w:t>
      </w:r>
      <w:r>
        <w:t xml:space="preserve">Invest in R&amp;D to significantly reduce the product\'s energy consumption during its operational lifespan. Encourage consumer behavior that promotes energy-efficient use.</w:t>
      </w:r>
    </w:p>
    <w:p>
      <w:pPr>
        <w:numPr>
          <w:ilvl w:val="0"/>
          <w:numId w:val="1020"/>
        </w:numPr>
        <w:pStyle w:val="Compact"/>
      </w:pPr>
      <w:r>
        <w:rPr>
          <w:bCs/>
          <w:b/>
        </w:rPr>
        <w:t xml:space="preserve">Sustainable Material Sourcing:</w:t>
      </w:r>
      <w:r>
        <w:t xml:space="preserve"> </w:t>
      </w:r>
      <w:r>
        <w:t xml:space="preserve">Collaborate with suppliers to source lower-carbon materials or materials produced with higher renewable energy content. Explore lightweighting opportunities and the use of recycled content.</w:t>
      </w:r>
    </w:p>
    <w:p>
      <w:pPr>
        <w:numPr>
          <w:ilvl w:val="0"/>
          <w:numId w:val="1020"/>
        </w:numPr>
        <w:pStyle w:val="Compact"/>
      </w:pPr>
      <w:r>
        <w:rPr>
          <w:bCs/>
          <w:b/>
        </w:rPr>
        <w:t xml:space="preserve">Optimize Logistics:</w:t>
      </w:r>
      <w:r>
        <w:t xml:space="preserve"> </w:t>
      </w:r>
      <w:r>
        <w:t xml:space="preserve">Implement strategies to reduce transport distances, shift to lower-emission transport modes (e.g., rail or sea freight over long distances where feasible), and improve load factors for both upstream and downstream logistics, especially for last-mile delivery.</w:t>
      </w:r>
    </w:p>
    <w:p>
      <w:pPr>
        <w:numPr>
          <w:ilvl w:val="0"/>
          <w:numId w:val="1020"/>
        </w:numPr>
        <w:pStyle w:val="Compact"/>
      </w:pPr>
      <w:r>
        <w:rPr>
          <w:bCs/>
          <w:b/>
        </w:rPr>
        <w:t xml:space="preserve">Strengthen Circular Economy Initiatives:</w:t>
      </w:r>
      <w:r>
        <w:t xml:space="preserve"> </w:t>
      </w:r>
      <w:r>
        <w:t xml:space="preserve">Expand existing circular/take-back programs to maximize product lifespan through repair, refurbishment, and high-quality recycling. This will increase avoided emissions from virgin material production.</w:t>
      </w:r>
    </w:p>
    <w:p>
      <w:pPr>
        <w:numPr>
          <w:ilvl w:val="0"/>
          <w:numId w:val="1020"/>
        </w:numPr>
        <w:pStyle w:val="Compact"/>
      </w:pPr>
      <w:r>
        <w:rPr>
          <w:bCs/>
          <w:b/>
        </w:rPr>
        <w:t xml:space="preserve">Supplier Engagement:</w:t>
      </w:r>
      <w:r>
        <w:t xml:space="preserve"> </w:t>
      </w:r>
      <w:r>
        <w:t xml:space="preserve">Work closely with material and component suppliers to gather primary emission data and encourage their own decarbonization efforts.</w:t>
      </w:r>
    </w:p>
    <w:p>
      <w:r>
        <w:pict>
          <v:rect style="width:0;height:1.5pt" o:hralign="center" o:hrstd="t" o:hr="t"/>
        </w:pict>
      </w:r>
    </w:p>
    <w:p>
      <w:pPr>
        <w:pStyle w:val="FirstParagraph"/>
      </w:pPr>
      <w:r>
        <w:t xml:space="preserve">Confidential - Internal Use Only | Page</w:t>
      </w:r>
      <w:r>
        <w:t xml:space="preserve"> </w:t>
      </w:r>
    </w:p>
    <w:bookmarkEnd w:id="50"/>
    <w:bookmarkEnd w:id="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rklgkdmxyr</dc:title>
  <dc:creator/>
  <dc:description>High-detail Product Carbon Footprint (PCF) analysis report for product rklgkdmxyr by ymnmlzlmeh, adhering to GHG Protocol and 2026 LSR Standard.</dc:description>
  <dc:language>en</dc:language>
  <cp:keywords/>
  <dcterms:created xsi:type="dcterms:W3CDTF">2026-07-15T06:36:50Z</dcterms:created>
  <dcterms:modified xsi:type="dcterms:W3CDTF">2026-07-15T06:36:50Z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