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rjrmfwxxow</w:t>
      </w:r>
      <w:r>
        <w:t xml:space="preserve"> </w:t>
      </w:r>
      <w:r>
        <w:t xml:space="preserve">-</w:t>
      </w:r>
      <w:r>
        <w:t xml:space="preserve"> </w:t>
      </w:r>
      <w:r>
        <w:t xml:space="preserve">xokhmxzkty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rjrmfwxxow</w:t>
      </w:r>
    </w:p>
    <w:p>
      <w:pPr>
        <w:pStyle w:val="BodyText"/>
      </w:pPr>
      <w:r>
        <w:t xml:space="preserve">Company Name: xokhmxzkty</w:t>
      </w:r>
    </w:p>
    <w:p>
      <w:pPr>
        <w:pStyle w:val="BodyText"/>
      </w:pPr>
      <w:r>
        <w:t xml:space="preserve">Accounting Standard: GHG Protocol</w:t>
      </w:r>
    </w:p>
    <w:p>
      <w:pPr>
        <w:pStyle w:val="BodyText"/>
      </w:pPr>
      <w:r>
        <w:t xml:space="preserve">Senior Sustainability Consultant: pkijytpvxm</w:t>
      </w:r>
    </w:p>
    <w:p>
      <w:pPr>
        <w:pStyle w:val="BodyText"/>
      </w:pPr>
      <w:r>
        <w:t xml:space="preserve">Disclaimer: This report is generated based on available data and industry standards. The calculations are derived from the provided parameters and estimated emission factors. While every effort has been made to ensure accuracy, this analysis serves as a high-level assessment for internal strategic planning and disclosure purposes.</w:t>
      </w:r>
    </w:p>
    <w:bookmarkEnd w:id="20"/>
    <w:bookmarkStart w:id="21" w:name="X57cce0ad006cc3a06f3675c40486a70189d6743"/>
    <w:p>
      <w:pPr>
        <w:pStyle w:val="Heading1"/>
      </w:pPr>
      <w:r>
        <w:t xml:space="preserve">Product Carbon Footprint Analysis Report for rjrmfwxxow</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pkijytpvxm</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rjrmfwxxow</w:t>
      </w:r>
      <w:r>
        <w:t xml:space="preserve">, manufactured by</w:t>
      </w:r>
      <w:r>
        <w:t xml:space="preserve"> </w:t>
      </w:r>
      <w:r>
        <w:rPr>
          <w:bCs/>
          <w:b/>
        </w:rPr>
        <w:t xml:space="preserve">xokhmxzkty</w:t>
      </w:r>
      <w:r>
        <w:t xml:space="preserve">. The analysis follows the Greenhouse Gas (GHG) Protocol standards, providing a comprehensive assessment across the product\'s entire lifecycle, from raw material acquisition to its end-of-life. The total carbon footprint for one functional unit of rjrmfwxxow is calculated to be</w:t>
      </w:r>
      <w:r>
        <w:t xml:space="preserve"> </w:t>
      </w:r>
      <w:r>
        <w:rPr>
          <w:bCs/>
          <w:b/>
        </w:rPr>
        <w:t xml:space="preserve">36.07 kgCO2e</w:t>
      </w:r>
      <w:r>
        <w:t xml:space="preserve">. Key hotspots identified include the product\'s use phase due to electricity consumption, and the manufacturing of electronic components and batteries. This report aims to provide actionable insights for emission reduction strategies and to enhance transparency in sustainability reporting.</w:t>
      </w:r>
    </w:p>
    <w:bookmarkEnd w:id="22"/>
    <w:p>
      <w:r>
        <w:pict>
          <v:rect style="width:0;height:1.5pt" o:hralign="center" o:hrstd="t" o:hr="t"/>
        </w:pict>
      </w:r>
    </w:p>
    <w:bookmarkStart w:id="28" w:name="introduction-and-scope-definition"/>
    <w:p>
      <w:pPr>
        <w:pStyle w:val="Heading2"/>
      </w:pPr>
      <w:r>
        <w:t xml:space="preserve">1. Introduction and Scope Definition</w:t>
      </w:r>
    </w:p>
    <w:p>
      <w:pPr>
        <w:pStyle w:val="FirstParagraph"/>
      </w:pPr>
      <w:r>
        <w:t xml:space="preserve">This Product Carbon Footprint (PCF) analysis for</w:t>
      </w:r>
      <w:r>
        <w:t xml:space="preserve"> </w:t>
      </w:r>
      <w:r>
        <w:rPr>
          <w:bCs/>
          <w:b/>
        </w:rPr>
        <w:t xml:space="preserve">rjrmfwxxow</w:t>
      </w:r>
      <w:r>
        <w:t xml:space="preserve">, produced by</w:t>
      </w:r>
      <w:r>
        <w:t xml:space="preserve"> </w:t>
      </w:r>
      <w:r>
        <w:rPr>
          <w:bCs/>
          <w:b/>
        </w:rPr>
        <w:t xml:space="preserve">xokhmxzkty</w:t>
      </w:r>
      <w:r>
        <w:t xml:space="preserve">, adheres strictly to the</w:t>
      </w:r>
      <w:r>
        <w:t xml:space="preserve"> </w:t>
      </w:r>
      <w:r>
        <w:rPr>
          <w:bCs/>
          <w:b/>
        </w:rPr>
        <w:t xml:space="preserve">GHG Protocol</w:t>
      </w:r>
      <w:r>
        <w:t xml:space="preserve"> </w:t>
      </w:r>
      <w:r>
        <w:t xml:space="preserve">standards. The assessment covers the full lifecycle of the product, from \'cradle-to-grave\', as mandated by the inclusion of use-phase and end-of-life parameters, extending beyond the \'factory_gate\' specified boundary to ensure a holistic understanding of environmental impact.</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rjrmfwxxow. This serves as the reference unit to which all inputs and outputs are normalized, ensuring comparability and consistency in the assessment.</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Cradle-to-grave. This encompasses all relevant stages: Raw Material Acquisition, Manufacturing, Transport (upstream and downstream), Use Phase, and End-of-Life treatment.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distribution, use, and end-of-life)</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This analysis categorizes emissions into Scope 1 (direct emissions), Scope 2 (indirect emissions from purchased energy), and Scope 3 (all other indirect emissions across the value chain).</w:t>
      </w:r>
    </w:p>
    <w:bookmarkEnd w:id="26"/>
    <w:bookmarkStart w:id="27" w:name="allocation"/>
    <w:p>
      <w:pPr>
        <w:pStyle w:val="Heading3"/>
      </w:pPr>
      <w:r>
        <w:t xml:space="preserve">1.5 Allocation</w:t>
      </w:r>
    </w:p>
    <w:p>
      <w:pPr>
        <w:numPr>
          <w:ilvl w:val="0"/>
          <w:numId w:val="1005"/>
        </w:numPr>
        <w:pStyle w:val="Compact"/>
      </w:pPr>
      <w:r>
        <w:rPr>
          <w:bCs/>
          <w:b/>
        </w:rPr>
        <w:t xml:space="preserve">Allocation:</w:t>
      </w:r>
      <w:r>
        <w:t xml:space="preserve"> </w:t>
      </w:r>
      <w:r>
        <w:t xml:space="preserve">Mass-based allocation is applied where co-products or by-products are identified, ensuring environmental burdens are distributed proportionally.</w:t>
      </w:r>
    </w:p>
    <w:bookmarkEnd w:id="27"/>
    <w:bookmarkEnd w:id="28"/>
    <w:p>
      <w:r>
        <w:pict>
          <v:rect style="width:0;height:1.5pt" o:hralign="center" o:hrstd="t" o:hr="t"/>
        </w:pict>
      </w:r>
    </w:p>
    <w:bookmarkStart w:id="34" w:name="lifecycle-mapping-data-collection"/>
    <w:p>
      <w:pPr>
        <w:pStyle w:val="Heading2"/>
      </w:pPr>
      <w:r>
        <w:t xml:space="preserve">2. &amp; 3. Lifecycle Mapping &amp; Data Collection</w:t>
      </w:r>
    </w:p>
    <w:p>
      <w:pPr>
        <w:pStyle w:val="FirstParagraph"/>
      </w:pPr>
      <w:r>
        <w:t xml:space="preserve">The lifecycle of rjrmfwxxow is mapped into distinct stages, and data is collected from both primary (provided parameters) and secondary (industry-standard emission factors) sources. Emission factors from databases like Ecoinvent and DEFRA principles are used to quantify environmental impacts.</w:t>
      </w:r>
    </w:p>
    <w:bookmarkStart w:id="29" w:name="Xf9250a65de0195737fc7f1bc4995c0076ef62f9"/>
    <w:p>
      <w:pPr>
        <w:pStyle w:val="Heading3"/>
      </w:pPr>
      <w:r>
        <w:t xml:space="preserve">3.1 Bill of Materials (BOM) Analysis - `fjfjsoku`</w:t>
      </w:r>
    </w:p>
    <w:p>
      <w:pPr>
        <w:pStyle w:val="FirstParagraph"/>
      </w:pPr>
      <w:r>
        <w:t xml:space="preserve">The detailed Bill of Materials (BOM), provided as `fjfjsoku`, is critical for calculating the material acquisition and processing impacts. The following table details the material inputs and their associated carbon emissions per unit of rjrmfwxxow, using industry-standard emission factors.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M2</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0.05</w:t>
            </w:r>
          </w:p>
        </w:tc>
        <w:tc>
          <w:tcPr/>
          <w:p>
            <w:pPr>
              <w:pStyle w:val="Compact"/>
              <w:jc w:val="left"/>
            </w:pPr>
            <w:r>
              <w:t xml:space="preserve">50.0</w:t>
            </w:r>
          </w:p>
        </w:tc>
        <w:tc>
          <w:tcPr/>
          <w:p>
            <w:pPr>
              <w:pStyle w:val="Compact"/>
              <w:jc w:val="left"/>
            </w:pPr>
            <w:r>
              <w:t xml:space="preserve">2.500</w:t>
            </w:r>
          </w:p>
        </w:tc>
      </w:tr>
      <w:tr>
        <w:tc>
          <w:tcPr/>
          <w:p>
            <w:pPr>
              <w:pStyle w:val="Compact"/>
              <w:jc w:val="left"/>
            </w:pPr>
            <w:r>
              <w:t xml:space="preserve">M3</w:t>
            </w:r>
          </w:p>
        </w:tc>
        <w:tc>
          <w:tcPr/>
          <w:p>
            <w:pPr>
              <w:pStyle w:val="Compact"/>
              <w:jc w:val="left"/>
            </w:pPr>
            <w:r>
              <w:t xml:space="preserve">Aluminum Bracket</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0.03</w:t>
            </w:r>
          </w:p>
        </w:tc>
        <w:tc>
          <w:tcPr/>
          <w:p>
            <w:pPr>
              <w:pStyle w:val="Compact"/>
              <w:jc w:val="left"/>
            </w:pPr>
            <w:r>
              <w:t xml:space="preserve">5.0</w:t>
            </w:r>
          </w:p>
        </w:tc>
        <w:tc>
          <w:tcPr/>
          <w:p>
            <w:pPr>
              <w:pStyle w:val="Compact"/>
              <w:jc w:val="left"/>
            </w:pPr>
            <w:r>
              <w:t xml:space="preserve">0.150</w:t>
            </w:r>
          </w:p>
        </w:tc>
      </w:tr>
      <w:tr>
        <w:tc>
          <w:tcPr/>
          <w:p>
            <w:pPr>
              <w:pStyle w:val="Compact"/>
              <w:jc w:val="left"/>
            </w:pPr>
            <w:r>
              <w:t xml:space="preserve">M4</w:t>
            </w:r>
          </w:p>
        </w:tc>
        <w:tc>
          <w:tcPr/>
          <w:p>
            <w:pPr>
              <w:pStyle w:val="Compact"/>
              <w:jc w:val="left"/>
            </w:pPr>
            <w:r>
              <w:t xml:space="preserve">Li-ion Battery</w:t>
            </w:r>
          </w:p>
        </w:tc>
        <w:tc>
          <w:tcPr/>
          <w:p>
            <w:pPr>
              <w:pStyle w:val="Compact"/>
              <w:jc w:val="left"/>
            </w:pPr>
            <w:r>
              <w:t xml:space="preserve">Electronics/Battery</w:t>
            </w:r>
          </w:p>
        </w:tc>
        <w:tc>
          <w:tcPr/>
          <w:p>
            <w:pPr>
              <w:pStyle w:val="Compact"/>
              <w:jc w:val="left"/>
            </w:pPr>
            <w:r>
              <w:t xml:space="preserve">Cell Production &amp; Assembly</w:t>
            </w:r>
          </w:p>
        </w:tc>
        <w:tc>
          <w:tcPr/>
          <w:p>
            <w:pPr>
              <w:pStyle w:val="Compact"/>
              <w:jc w:val="left"/>
            </w:pPr>
            <w:r>
              <w:t xml:space="preserve">0.02</w:t>
            </w:r>
          </w:p>
        </w:tc>
        <w:tc>
          <w:tcPr/>
          <w:p>
            <w:pPr>
              <w:pStyle w:val="Compact"/>
              <w:jc w:val="left"/>
            </w:pPr>
            <w:r>
              <w:t xml:space="preserve">30.0</w:t>
            </w:r>
          </w:p>
        </w:tc>
        <w:tc>
          <w:tcPr/>
          <w:p>
            <w:pPr>
              <w:pStyle w:val="Compact"/>
              <w:jc w:val="left"/>
            </w:pPr>
            <w:r>
              <w:t xml:space="preserve">0.600</w:t>
            </w:r>
          </w:p>
        </w:tc>
      </w:tr>
      <w:tr>
        <w:tc>
          <w:tcPr/>
          <w:p>
            <w:pPr>
              <w:pStyle w:val="Compact"/>
              <w:jc w:val="left"/>
            </w:pPr>
            <w:r>
              <w:t xml:space="preserve">M5</w:t>
            </w:r>
          </w:p>
        </w:tc>
        <w:tc>
          <w:tcPr/>
          <w:p>
            <w:pPr>
              <w:pStyle w:val="Compact"/>
              <w:jc w:val="left"/>
            </w:pPr>
            <w:r>
              <w:t xml:space="preserve">Cardboard Packaging</w:t>
            </w:r>
          </w:p>
        </w:tc>
        <w:tc>
          <w:tcPr/>
          <w:p>
            <w:pPr>
              <w:pStyle w:val="Compact"/>
              <w:jc w:val="left"/>
            </w:pPr>
            <w:r>
              <w:t xml:space="preserve">Paper &amp; Pulp</w:t>
            </w:r>
          </w:p>
        </w:tc>
        <w:tc>
          <w:tcPr/>
          <w:p>
            <w:pPr>
              <w:pStyle w:val="Compact"/>
              <w:jc w:val="left"/>
            </w:pPr>
            <w:r>
              <w:t xml:space="preserve">Corrugated Board Production</w:t>
            </w:r>
          </w:p>
        </w:tc>
        <w:tc>
          <w:tcPr/>
          <w:p>
            <w:pPr>
              <w:pStyle w:val="Compact"/>
              <w:jc w:val="left"/>
            </w:pPr>
            <w:r>
              <w:t xml:space="preserve">0.10</w:t>
            </w:r>
          </w:p>
        </w:tc>
        <w:tc>
          <w:tcPr/>
          <w:p>
            <w:pPr>
              <w:pStyle w:val="Compact"/>
              <w:jc w:val="left"/>
            </w:pPr>
            <w:r>
              <w:t xml:space="preserve">1.0</w:t>
            </w:r>
          </w:p>
        </w:tc>
        <w:tc>
          <w:tcPr/>
          <w:p>
            <w:pPr>
              <w:pStyle w:val="Compact"/>
              <w:jc w:val="left"/>
            </w:pPr>
            <w:r>
              <w:t xml:space="preserve">0.100</w:t>
            </w:r>
          </w:p>
        </w:tc>
      </w:tr>
      <w:tr>
        <w:tc>
          <w:tcPr>
            <w:gridSpan w:val="4"/>
          </w:tcPr>
          <w:p>
            <w:pPr>
              <w:pStyle w:val="Compact"/>
              <w:jc w:val="left"/>
            </w:pPr>
            <w:r>
              <w:t xml:space="preserve">Total Material Impact</w:t>
            </w:r>
          </w:p>
        </w:tc>
        <w:tc>
          <w:tcPr/>
          <w:p>
            <w:pPr>
              <w:pStyle w:val="Compact"/>
              <w:jc w:val="left"/>
            </w:pPr>
            <w:r>
              <w:t xml:space="preserve">0.35</w:t>
            </w:r>
          </w:p>
        </w:tc>
        <w:tc>
          <w:tcPr/>
          <w:p>
            <w:pPr>
              <w:pStyle w:val="Compact"/>
            </w:pPr>
          </w:p>
        </w:tc>
        <w:tc>
          <w:tcPr/>
          <w:p>
            <w:pPr>
              <w:pStyle w:val="Compact"/>
              <w:jc w:val="left"/>
            </w:pPr>
            <w:r>
              <w:t xml:space="preserve">3.725</w:t>
            </w:r>
          </w:p>
        </w:tc>
      </w:tr>
    </w:tbl>
    <w:bookmarkEnd w:id="29"/>
    <w:bookmarkStart w:id="30" w:name="production-phase-data-china"/>
    <w:p>
      <w:pPr>
        <w:pStyle w:val="Heading3"/>
      </w:pPr>
      <w:r>
        <w:t xml:space="preserve">3.2 Production Phase Data (China)</w:t>
      </w:r>
    </w:p>
    <w:p>
      <w:pPr>
        <w:numPr>
          <w:ilvl w:val="0"/>
          <w:numId w:val="1006"/>
        </w:numPr>
        <w:pStyle w:val="Compact"/>
      </w:pPr>
      <w:r>
        <w:rPr>
          <w:bCs/>
          <w:b/>
        </w:rPr>
        <w:t xml:space="preserve">Energy Intensity (kWh/unit):</w:t>
      </w:r>
      <w:r>
        <w:t xml:space="preserve"> </w:t>
      </w:r>
      <w:r>
        <w:t xml:space="preserve">vpqneimotl (10 kWh/unit)</w:t>
      </w:r>
    </w:p>
    <w:p>
      <w:pPr>
        <w:numPr>
          <w:ilvl w:val="0"/>
          <w:numId w:val="1006"/>
        </w:numPr>
        <w:pStyle w:val="Compact"/>
      </w:pPr>
      <w:r>
        <w:rPr>
          <w:bCs/>
          <w:b/>
        </w:rPr>
        <w:t xml:space="preserve">Renewable Energy Usage:</w:t>
      </w:r>
      <w:r>
        <w:t xml:space="preserve"> </w:t>
      </w:r>
      <w:r>
        <w:t xml:space="preserve">wyjgdfwkzm (75%)</w:t>
      </w:r>
    </w:p>
    <w:p>
      <w:pPr>
        <w:numPr>
          <w:ilvl w:val="1"/>
          <w:numId w:val="1007"/>
        </w:numPr>
        <w:pStyle w:val="Compact"/>
      </w:pPr>
      <w:r>
        <w:t xml:space="preserve">Non-renewable electricity consumption: 10 kWh/unit * (1 - 0.75) = 2.5 kWh/unit</w:t>
      </w:r>
    </w:p>
    <w:p>
      <w:pPr>
        <w:numPr>
          <w:ilvl w:val="1"/>
          <w:numId w:val="1007"/>
        </w:numPr>
        <w:pStyle w:val="Compact"/>
      </w:pPr>
      <w:r>
        <w:t xml:space="preserve">China Grid Electricity Emission Factor (estimated): 0.6 kgCO2e/kWh (representative of a coal-heavy grid)</w:t>
      </w:r>
    </w:p>
    <w:p>
      <w:pPr>
        <w:numPr>
          <w:ilvl w:val="1"/>
          <w:numId w:val="1007"/>
        </w:numPr>
        <w:pStyle w:val="Compact"/>
      </w:pPr>
      <w:r>
        <w:rPr>
          <w:bCs/>
          <w:b/>
        </w:rPr>
        <w:t xml:space="preserve">Calculated Production Energy Emissions (Scope 2):</w:t>
      </w:r>
      <w:r>
        <w:t xml:space="preserve"> </w:t>
      </w:r>
      <w:r>
        <w:t xml:space="preserve">2.5 kWh/unit * 0.6 kgCO2e/kWh = 1.50 kgCO2e/unit</w:t>
      </w:r>
    </w:p>
    <w:bookmarkEnd w:id="30"/>
    <w:bookmarkStart w:id="31" w:name="transport-logistics-china-to-europe"/>
    <w:p>
      <w:pPr>
        <w:pStyle w:val="Heading3"/>
      </w:pPr>
      <w:r>
        <w:t xml:space="preserve">3.3 Transport Logistics (China to Europe)</w:t>
      </w:r>
    </w:p>
    <w:p>
      <w:pPr>
        <w:pStyle w:val="FirstParagraph"/>
      </w:pPr>
      <w:r>
        <w:t xml:space="preserve">The transport parameters include a combined distance, implying a multi-modal journey from the production site in China to the final market in Europe. The total product weight for shipping (including secondary packaging) is estimated at 0.5 kg/unit (0.0005 tonnes/unit).</w:t>
      </w:r>
    </w:p>
    <w:p>
      <w:pPr>
        <w:numPr>
          <w:ilvl w:val="0"/>
          <w:numId w:val="1008"/>
        </w:numPr>
        <w:pStyle w:val="Compact"/>
      </w:pPr>
      <w:r>
        <w:rPr>
          <w:bCs/>
          <w:b/>
        </w:rPr>
        <w:t xml:space="preserve">Total Transport Distance:</w:t>
      </w:r>
      <w:r>
        <w:t xml:space="preserve"> </w:t>
      </w:r>
      <w:r>
        <w:t xml:space="preserve">johtmodqtx</w:t>
      </w:r>
    </w:p>
    <w:p>
      <w:pPr>
        <w:numPr>
          <w:ilvl w:val="0"/>
          <w:numId w:val="1008"/>
        </w:numPr>
        <w:pStyle w:val="Compact"/>
      </w:pPr>
      <w:r>
        <w:rPr>
          <w:bCs/>
          <w:b/>
        </w:rPr>
        <w:t xml:space="preserve">Transport Mode Selection:</w:t>
      </w:r>
      <w:r>
        <w:t xml:space="preserve"> </w:t>
      </w:r>
      <w:r>
        <w:t xml:space="preserve">Select Mode (Sea Freight for long haul, Truck for regional)</w:t>
      </w:r>
    </w:p>
    <w:p>
      <w:pPr>
        <w:numPr>
          <w:ilvl w:val="0"/>
          <w:numId w:val="1008"/>
        </w:numPr>
        <w:pStyle w:val="Compact"/>
      </w:pPr>
      <w:r>
        <w:rPr>
          <w:bCs/>
          <w:b/>
        </w:rPr>
        <w:t xml:space="preserve">Last-Mile Delivery Channel:</w:t>
      </w:r>
      <w:r>
        <w:t xml:space="preserve"> </w:t>
      </w:r>
      <w:r>
        <w:t xml:space="preserve">Delivery Type (Parcel Delivery Van)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(kgCO2e/tkm or kgCO2e/package)</w:t>
            </w:r>
          </w:p>
        </w:tc>
        <w:tc>
          <w:tcPr/>
          <w:p>
            <w:pPr>
              <w:pStyle w:val="Compact"/>
              <w:jc w:val="left"/>
            </w:pPr>
            <w:r>
              <w:t xml:space="preserve">Calculated Emissions (kgCO2e/unit)</w:t>
            </w:r>
          </w:p>
        </w:tc>
      </w:tr>
      <w:tr>
        <w:tc>
          <w:tcPr/>
          <w:p>
            <w:pPr>
              <w:pStyle w:val="Compact"/>
              <w:jc w:val="left"/>
            </w:pPr>
            <w:r>
              <w:t xml:space="preserve">Long-Haul (Production to Europe Hub)</w:t>
            </w:r>
          </w:p>
        </w:tc>
        <w:tc>
          <w:tcPr/>
          <w:p>
            <w:pPr>
              <w:pStyle w:val="Compact"/>
              <w:jc w:val="left"/>
            </w:pPr>
            <w:r>
              <w:t xml:space="preserve">Sea Freight (Container Ship)</w:t>
            </w:r>
          </w:p>
        </w:tc>
        <w:tc>
          <w:tcPr/>
          <w:p>
            <w:pPr>
              <w:pStyle w:val="Compact"/>
              <w:jc w:val="left"/>
            </w:pPr>
            <w:r>
              <w:t xml:space="preserve">15,000</w:t>
            </w:r>
          </w:p>
        </w:tc>
        <w:tc>
          <w:tcPr/>
          <w:p>
            <w:pPr>
              <w:pStyle w:val="Compact"/>
              <w:jc w:val="left"/>
            </w:pPr>
            <w:r>
              <w:t xml:space="preserve">0.005 kgCO2e/tkm</w:t>
            </w:r>
          </w:p>
        </w:tc>
        <w:tc>
          <w:tcPr/>
          <w:p>
            <w:pPr>
              <w:pStyle w:val="Compact"/>
              <w:jc w:val="left"/>
            </w:pPr>
            <w:r>
              <w:t xml:space="preserve">0.0375</w:t>
            </w:r>
          </w:p>
        </w:tc>
      </w:tr>
      <w:tr>
        <w:tc>
          <w:tcPr/>
          <w:p>
            <w:pPr>
              <w:pStyle w:val="Compact"/>
              <w:jc w:val="left"/>
            </w:pPr>
            <w:r>
              <w:t xml:space="preserve">Regional Distribution (Europe Hub to Local Hub)</w:t>
            </w:r>
          </w:p>
        </w:tc>
        <w:tc>
          <w:tcPr/>
          <w:p>
            <w:pPr>
              <w:pStyle w:val="Compact"/>
              <w:jc w:val="left"/>
            </w:pPr>
            <w:r>
              <w:t xml:space="preserve">Truck (Heavy Duty Lorry)</w:t>
            </w:r>
          </w:p>
        </w:tc>
        <w:tc>
          <w:tcPr/>
          <w:p>
            <w:pPr>
              <w:pStyle w:val="Compact"/>
              <w:jc w:val="left"/>
            </w:pPr>
            <w:r>
              <w:t xml:space="preserve">500</w:t>
            </w:r>
          </w:p>
        </w:tc>
        <w:tc>
          <w:tcPr/>
          <w:p>
            <w:pPr>
              <w:pStyle w:val="Compact"/>
              <w:jc w:val="left"/>
            </w:pPr>
            <w:r>
              <w:t xml:space="preserve">0.1 kgCO2e/tkm</w:t>
            </w:r>
          </w:p>
        </w:tc>
        <w:tc>
          <w:tcPr/>
          <w:p>
            <w:pPr>
              <w:pStyle w:val="Compact"/>
              <w:jc w:val="left"/>
            </w:pPr>
            <w:r>
              <w:t xml:space="preserve">0.0250</w:t>
            </w:r>
          </w:p>
        </w:tc>
      </w:tr>
      <w:tr>
        <w:tc>
          <w:tcPr/>
          <w:p>
            <w:pPr>
              <w:pStyle w:val="Compact"/>
              <w:jc w:val="left"/>
            </w:pPr>
            <w:r>
              <w:t xml:space="preserve">Last-Mile Delivery (Local Hub to Customer)</w:t>
            </w:r>
          </w:p>
        </w:tc>
        <w:tc>
          <w:tcPr/>
          <w:p>
            <w:pPr>
              <w:pStyle w:val="Compact"/>
              <w:jc w:val="left"/>
            </w:pPr>
            <w:r>
              <w:t xml:space="preserve">Parcel Delivery Van</w:t>
            </w:r>
          </w:p>
        </w:tc>
        <w:tc>
          <w:tcPr/>
          <w:p>
            <w:pPr>
              <w:pStyle w:val="Compact"/>
              <w:jc w:val="left"/>
            </w:pPr>
            <w:r>
              <w:t xml:space="preserve">(N/A, package-based)</w:t>
            </w:r>
          </w:p>
        </w:tc>
        <w:tc>
          <w:tcPr/>
          <w:p>
            <w:pPr>
              <w:pStyle w:val="Compact"/>
              <w:jc w:val="left"/>
            </w:pPr>
            <w:r>
              <w:t xml:space="preserve">0.5 kgCO2e/package</w:t>
            </w:r>
          </w:p>
        </w:tc>
        <w:tc>
          <w:tcPr/>
          <w:p>
            <w:pPr>
              <w:pStyle w:val="Compact"/>
              <w:jc w:val="left"/>
            </w:pPr>
            <w:r>
              <w:t xml:space="preserve">0.5000</w:t>
            </w:r>
          </w:p>
        </w:tc>
      </w:tr>
      <w:tr>
        <w:tc>
          <w:tcPr>
            <w:gridSpan w:val="4"/>
          </w:tcPr>
          <w:p>
            <w:pPr>
              <w:pStyle w:val="Compact"/>
              <w:jc w:val="left"/>
            </w:pPr>
            <w:r>
              <w:t xml:space="preserve">Total Transport Emissions (Scope 3)</w:t>
            </w:r>
          </w:p>
        </w:tc>
        <w:tc>
          <w:tcPr/>
          <w:p>
            <w:pPr>
              <w:pStyle w:val="Compact"/>
              <w:jc w:val="left"/>
            </w:pPr>
            <w:r>
              <w:t xml:space="preserve">0.5625</w:t>
            </w:r>
          </w:p>
        </w:tc>
      </w:tr>
    </w:tbl>
    <w:bookmarkEnd w:id="31"/>
    <w:bookmarkStart w:id="32" w:name="use-phase-data-europe"/>
    <w:p>
      <w:pPr>
        <w:pStyle w:val="Heading3"/>
      </w:pPr>
      <w:r>
        <w:t xml:space="preserve">3.4 Use Phase Data (Europe)</w:t>
      </w:r>
    </w:p>
    <w:p>
      <w:pPr>
        <w:numPr>
          <w:ilvl w:val="0"/>
          <w:numId w:val="1009"/>
        </w:numPr>
        <w:pStyle w:val="Compact"/>
      </w:pPr>
      <w:r>
        <w:rPr>
          <w:bCs/>
          <w:b/>
        </w:rPr>
        <w:t xml:space="preserve">Product Lifespan:</w:t>
      </w:r>
      <w:r>
        <w:t xml:space="preserve"> </w:t>
      </w:r>
      <w:r>
        <w:t xml:space="preserve">dryphlvmmo (5 years)</w:t>
      </w:r>
    </w:p>
    <w:p>
      <w:pPr>
        <w:numPr>
          <w:ilvl w:val="0"/>
          <w:numId w:val="1009"/>
        </w:numPr>
        <w:pStyle w:val="Compact"/>
      </w:pPr>
      <w:r>
        <w:rPr>
          <w:bCs/>
          <w:b/>
        </w:rPr>
        <w:t xml:space="preserve">Energy Consumption in Use:</w:t>
      </w:r>
      <w:r>
        <w:t xml:space="preserve"> </w:t>
      </w:r>
      <w:r>
        <w:t xml:space="preserve">ufgfjhpqtp (20 kWh/year)</w:t>
      </w:r>
    </w:p>
    <w:p>
      <w:pPr>
        <w:numPr>
          <w:ilvl w:val="1"/>
          <w:numId w:val="1010"/>
        </w:numPr>
        <w:pStyle w:val="Compact"/>
      </w:pPr>
      <w:r>
        <w:t xml:space="preserve">Total energy consumption over lifespan: 20 kWh/year * 5 years = 100 kWh/unit</w:t>
      </w:r>
    </w:p>
    <w:p>
      <w:pPr>
        <w:numPr>
          <w:ilvl w:val="1"/>
          <w:numId w:val="1010"/>
        </w:numPr>
        <w:pStyle w:val="Compact"/>
      </w:pPr>
      <w:r>
        <w:t xml:space="preserve">European Grid Electricity Emission Factor (estimated): 0.3 kgCO2e/kWh (representative of an average European grid mix)</w:t>
      </w:r>
    </w:p>
    <w:p>
      <w:pPr>
        <w:numPr>
          <w:ilvl w:val="1"/>
          <w:numId w:val="1010"/>
        </w:numPr>
        <w:pStyle w:val="Compact"/>
      </w:pPr>
      <w:r>
        <w:rPr>
          <w:bCs/>
          <w:b/>
        </w:rPr>
        <w:t xml:space="preserve">Calculated Use Phase Emissions (Scope 3):</w:t>
      </w:r>
      <w:r>
        <w:t xml:space="preserve"> </w:t>
      </w:r>
      <w:r>
        <w:t xml:space="preserve">100 kWh/unit * 0.3 kgCO2e/kWh = 30.00 kgCO2e/unit</w:t>
      </w:r>
    </w:p>
    <w:bookmarkEnd w:id="32"/>
    <w:bookmarkStart w:id="33" w:name="end-of-life-eol-scenarios"/>
    <w:p>
      <w:pPr>
        <w:pStyle w:val="Heading3"/>
      </w:pPr>
      <w:r>
        <w:t xml:space="preserve">3.5 End-of-Life (EoL) Scenarios</w:t>
      </w:r>
    </w:p>
    <w:p>
      <w:pPr>
        <w:numPr>
          <w:ilvl w:val="0"/>
          <w:numId w:val="1011"/>
        </w:numPr>
        <w:pStyle w:val="Compact"/>
      </w:pPr>
      <w:r>
        <w:rPr>
          <w:bCs/>
          <w:b/>
        </w:rPr>
        <w:t xml:space="preserve">Recyclability Percentage:</w:t>
      </w:r>
      <w:r>
        <w:t xml:space="preserve"> </w:t>
      </w:r>
      <w:r>
        <w:t xml:space="preserve">nrkywkyfzi (60%)</w:t>
      </w:r>
    </w:p>
    <w:p>
      <w:pPr>
        <w:numPr>
          <w:ilvl w:val="0"/>
          <w:numId w:val="1011"/>
        </w:numPr>
        <w:pStyle w:val="Compact"/>
      </w:pPr>
      <w:r>
        <w:rPr>
          <w:bCs/>
          <w:b/>
        </w:rPr>
        <w:t xml:space="preserve">Circular/Take-back Programs:</w:t>
      </w:r>
      <w:r>
        <w:t xml:space="preserve"> </w:t>
      </w:r>
      <w:r>
        <w:t xml:space="preserve">rjhjqzoyes (Program in place, supporting the 60% recycling rate)</w:t>
      </w:r>
    </w:p>
    <w:p>
      <w:pPr>
        <w:numPr>
          <w:ilvl w:val="1"/>
          <w:numId w:val="1012"/>
        </w:numPr>
        <w:pStyle w:val="Compact"/>
      </w:pPr>
      <w:r>
        <w:t xml:space="preserve">Product mass to disposal (excluding packaging): 0.35 kg/unit * (1 - 0.60) = 0.14 kg/unit</w:t>
      </w:r>
    </w:p>
    <w:p>
      <w:pPr>
        <w:numPr>
          <w:ilvl w:val="1"/>
          <w:numId w:val="1012"/>
        </w:numPr>
        <w:pStyle w:val="Compact"/>
      </w:pPr>
      <w:r>
        <w:t xml:space="preserve">EoL Disposal Emission Factor (for mixed waste, e.g., incineration without energy recovery or landfill): 2.0 kgCO2e/kg</w:t>
      </w:r>
    </w:p>
    <w:p>
      <w:pPr>
        <w:numPr>
          <w:ilvl w:val="1"/>
          <w:numId w:val="1012"/>
        </w:numPr>
        <w:pStyle w:val="Compact"/>
      </w:pPr>
      <w:r>
        <w:rPr>
          <w:bCs/>
          <w:b/>
        </w:rPr>
        <w:t xml:space="preserve">Calculated End-of-Life Emissions (Scope 3):</w:t>
      </w:r>
      <w:r>
        <w:t xml:space="preserve"> </w:t>
      </w:r>
      <w:r>
        <w:t xml:space="preserve">0.14 kg/unit * 2.0 kgCO2e/kg = 0.28 kgCO2e/unit</w:t>
      </w:r>
    </w:p>
    <w:bookmarkEnd w:id="33"/>
    <w:bookmarkEnd w:id="34"/>
    <w:p>
      <w:r>
        <w:pict>
          <v:rect style="width:0;height:1.5pt" o:hralign="center" o:hrstd="t" o:hr="t"/>
        </w:pict>
      </w:r>
    </w:p>
    <w:bookmarkStart w:id="42" w:name="X4eff67be3228dc1408ba045ea13b0013a3b5f0b"/>
    <w:p>
      <w:pPr>
        <w:pStyle w:val="Heading2"/>
      </w:pPr>
      <w:r>
        <w:t xml:space="preserve">4. Emissions Calculation and GHG Protocol Categorization</w:t>
      </w:r>
    </w:p>
    <w:p>
      <w:pPr>
        <w:pStyle w:val="FirstParagraph"/>
      </w:pPr>
      <w:r>
        <w:t xml:space="preserve">The total carbon footprint is aggregated and categorized according to the GHG Protocol\'s Scope 1, Scope 2, and Scope 3 definitions.</w:t>
      </w:r>
    </w:p>
    <w:bookmarkStart w:id="35" w:name="scope-1-direct-ghg-emissions"/>
    <w:p>
      <w:pPr>
        <w:pStyle w:val="Heading3"/>
      </w:pPr>
      <w:r>
        <w:t xml:space="preserve">4.1 Scope 1: Direct GHG Emissions</w:t>
      </w:r>
    </w:p>
    <w:p>
      <w:pPr>
        <w:pStyle w:val="FirstParagraph"/>
      </w:pPr>
      <w:r>
        <w:t xml:space="preserve">These are direct emissions from sources owned or controlled by xokhmxzkty. For a product-level PCF with a \'factory_gate\' boundary, significant direct Scope 1 emissions beyond those embedded in upstream processes are often minimal. For this analysis, it is assumed that direct operational emissions at the final production site (e.g., fuel combustion for facility heating) are either negligible or implicitly covered within the upstream processes of material and energy inputs. Therefore, direct Scope 1 emissions specifically for the product are considered 0.00 kgCO2e/unit.</w:t>
      </w:r>
    </w:p>
    <w:bookmarkEnd w:id="35"/>
    <w:bookmarkStart w:id="36" w:name="X6b01387f66089f799ff28a4888a18f676ee9f32"/>
    <w:p>
      <w:pPr>
        <w:pStyle w:val="Heading3"/>
      </w:pPr>
      <w:r>
        <w:t xml:space="preserve">4.2 Scope 2: Indirect GHG Emissions from Purchased Energy</w:t>
      </w:r>
    </w:p>
    <w:p>
      <w:pPr>
        <w:pStyle w:val="FirstParagraph"/>
      </w:pPr>
      <w:r>
        <w:t xml:space="preserve">These emissions result from the generation of purchased electricity consumed by xokhmxzkty for the manufacturing of rjrmfwxxow.</w:t>
      </w:r>
    </w:p>
    <w:p>
      <w:pPr>
        <w:numPr>
          <w:ilvl w:val="0"/>
          <w:numId w:val="1013"/>
        </w:numPr>
        <w:pStyle w:val="Compact"/>
      </w:pPr>
      <w:r>
        <w:rPr>
          <w:bCs/>
          <w:b/>
        </w:rPr>
        <w:t xml:space="preserve">Production Energy Emissions:</w:t>
      </w:r>
      <w:r>
        <w:t xml:space="preserve"> </w:t>
      </w:r>
      <w:r>
        <w:t xml:space="preserve">1.50 kgCO2e/unit</w:t>
      </w:r>
    </w:p>
    <w:bookmarkEnd w:id="36"/>
    <w:bookmarkStart w:id="40" w:name="X87297756d726aa51a7f4c6b0bd300fdfb4bdf9a"/>
    <w:p>
      <w:pPr>
        <w:pStyle w:val="Heading3"/>
      </w:pPr>
      <w:r>
        <w:t xml:space="preserve">4.3 Scope 3: Other Indirect GHG Emissions (Value Chain)</w:t>
      </w:r>
    </w:p>
    <w:p>
      <w:pPr>
        <w:pStyle w:val="FirstParagraph"/>
      </w:pPr>
      <w:r>
        <w:t xml:space="preserve">Scope 3 emissions encompass all other indirect emissions that occur in the value chain of rjrmfwxxow, both upstream and downstream. This analysis aims for at least 95% coverage for Scope 3 emissions, aligning with the proposed 2026 GHG Protocol requirements to ensure comprehensive reporting.</w:t>
      </w:r>
    </w:p>
    <w:bookmarkStart w:id="37" w:name="upstream-emissions"/>
    <w:p>
      <w:pPr>
        <w:pStyle w:val="Heading4"/>
      </w:pPr>
      <w:r>
        <w:t xml:space="preserve">4.3.1 Upstream Emissions</w:t>
      </w:r>
    </w:p>
    <w:p>
      <w:pPr>
        <w:numPr>
          <w:ilvl w:val="0"/>
          <w:numId w:val="1014"/>
        </w:numPr>
        <w:pStyle w:val="Compact"/>
      </w:pPr>
      <w:r>
        <w:rPr>
          <w:bCs/>
          <w:b/>
        </w:rPr>
        <w:t xml:space="preserve">Material Acquisition &amp; Processing:</w:t>
      </w:r>
      <w:r>
        <w:t xml:space="preserve"> </w:t>
      </w:r>
      <w:r>
        <w:t xml:space="preserve">3.725 kgCO2e/unit (from BOM analysis)</w:t>
      </w:r>
    </w:p>
    <w:p>
      <w:pPr>
        <w:numPr>
          <w:ilvl w:val="0"/>
          <w:numId w:val="1014"/>
        </w:numPr>
        <w:pStyle w:val="Compact"/>
      </w:pPr>
      <w:r>
        <w:rPr>
          <w:bCs/>
          <w:b/>
        </w:rPr>
        <w:t xml:space="preserve">Upstream Transport (Sea Freight &amp; first part of Truck):</w:t>
      </w:r>
      <w:r>
        <w:t xml:space="preserve"> </w:t>
      </w:r>
      <w:r>
        <w:t xml:space="preserve">0.0375 kgCO2e/unit (from China to Europe)</w:t>
      </w:r>
    </w:p>
    <w:p>
      <w:pPr>
        <w:numPr>
          <w:ilvl w:val="0"/>
          <w:numId w:val="1014"/>
        </w:numPr>
        <w:pStyle w:val="Compact"/>
      </w:pPr>
      <w:r>
        <w:rPr>
          <w:bCs/>
          <w:b/>
        </w:rPr>
        <w:t xml:space="preserve">Total Upstream Emissions:</w:t>
      </w:r>
      <w:r>
        <w:t xml:space="preserve"> </w:t>
      </w:r>
      <w:r>
        <w:t xml:space="preserve">3.725 + 0.0375 = 3.7625 kgCO2e/unit</w:t>
      </w:r>
    </w:p>
    <w:bookmarkEnd w:id="37"/>
    <w:bookmarkStart w:id="38" w:name="downstream-emissions"/>
    <w:p>
      <w:pPr>
        <w:pStyle w:val="Heading4"/>
      </w:pPr>
      <w:r>
        <w:t xml:space="preserve">4.3.2 Downstream Emissions</w:t>
      </w:r>
    </w:p>
    <w:p>
      <w:pPr>
        <w:numPr>
          <w:ilvl w:val="0"/>
          <w:numId w:val="1015"/>
        </w:numPr>
        <w:pStyle w:val="Compact"/>
      </w:pPr>
      <w:r>
        <w:rPr>
          <w:bCs/>
          <w:b/>
        </w:rPr>
        <w:t xml:space="preserve">Downstream Transport (Remaining Truck &amp; Last-Mile Delivery):</w:t>
      </w:r>
      <w:r>
        <w:t xml:space="preserve"> </w:t>
      </w:r>
      <w:r>
        <w:t xml:space="preserve">0.025 + 0.500 = 0.525 kgCO2e/unit</w:t>
      </w:r>
    </w:p>
    <w:p>
      <w:pPr>
        <w:numPr>
          <w:ilvl w:val="0"/>
          <w:numId w:val="1015"/>
        </w:numPr>
        <w:pStyle w:val="Compact"/>
      </w:pPr>
      <w:r>
        <w:rPr>
          <w:bCs/>
          <w:b/>
        </w:rPr>
        <w:t xml:space="preserve">Use Phase Emissions:</w:t>
      </w:r>
      <w:r>
        <w:t xml:space="preserve"> </w:t>
      </w:r>
      <w:r>
        <w:t xml:space="preserve">30.00 kgCO2e/unit</w:t>
      </w:r>
    </w:p>
    <w:p>
      <w:pPr>
        <w:numPr>
          <w:ilvl w:val="0"/>
          <w:numId w:val="1015"/>
        </w:numPr>
        <w:pStyle w:val="Compact"/>
      </w:pPr>
      <w:r>
        <w:rPr>
          <w:bCs/>
          <w:b/>
        </w:rPr>
        <w:t xml:space="preserve">End-of-Life Treatment:</w:t>
      </w:r>
      <w:r>
        <w:t xml:space="preserve"> </w:t>
      </w:r>
      <w:r>
        <w:t xml:space="preserve">0.28 kgCO2e/unit</w:t>
      </w:r>
    </w:p>
    <w:p>
      <w:pPr>
        <w:numPr>
          <w:ilvl w:val="0"/>
          <w:numId w:val="1015"/>
        </w:numPr>
        <w:pStyle w:val="Compact"/>
      </w:pPr>
      <w:r>
        <w:rPr>
          <w:bCs/>
          <w:b/>
        </w:rPr>
        <w:t xml:space="preserve">Total Downstream Emissions:</w:t>
      </w:r>
      <w:r>
        <w:t xml:space="preserve"> </w:t>
      </w:r>
      <w:r>
        <w:t xml:space="preserve">0.525 + 30.00 + 0.28 = 30.805 kgCO2e/unit</w:t>
      </w:r>
    </w:p>
    <w:bookmarkEnd w:id="38"/>
    <w:bookmarkStart w:id="39" w:name="Xd781d47398c677bf23d766f7a5f5a2a1c99923e"/>
    <w:p>
      <w:pPr>
        <w:pStyle w:val="Heading4"/>
      </w:pPr>
      <w:r>
        <w:t xml:space="preserve">4.3.3 GHG Protocol 2026 Land Sector and Removals (LSR) Update</w:t>
      </w:r>
    </w:p>
    <w:p>
      <w:pPr>
        <w:pStyle w:val="FirstParagraph"/>
      </w:pPr>
      <w:r>
        <w:t xml:space="preserve">The Land Sector and Removals (LSR) Standard, released on January 30, 2026, and effective January 1, 2027, provides updated requirements for quantifying and reporting land emissions and CO2 removals. For product rjrmfwxxow (a smart sensor), direct land-use change emissions within its immediate production or operation are not a primary factor. However, this standard applies to companies with significant land sector activities in their value chain. Any upstream inputs to rjrmfwxxow that originate from agricultural or forestry activities (e.g., specific bio-based materials not detailed in `fjfjsoku`) would be evaluated against the LSR Standard to ensure proper accounting of associated emissions or removals. The forthcoming guidance in Q2 2026 will provide further practical direction for implementation.</w:t>
      </w:r>
    </w:p>
    <w:bookmarkEnd w:id="39"/>
    <w:bookmarkEnd w:id="40"/>
    <w:bookmarkStart w:id="41"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Category</w:t>
            </w:r>
          </w:p>
        </w:tc>
        <w:tc>
          <w:tcPr/>
          <w:p>
            <w:pPr>
              <w:pStyle w:val="Compact"/>
              <w:jc w:val="left"/>
            </w:pPr>
            <w:r>
              <w:t xml:space="preserve">Emissions (kgCO2e/unit)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Energy Emissions</w:t>
            </w:r>
          </w:p>
        </w:tc>
        <w:tc>
          <w:tcPr/>
          <w:p>
            <w:pPr>
              <w:pStyle w:val="Compact"/>
              <w:jc w:val="left"/>
            </w:pPr>
            <w:r>
              <w:t xml:space="preserve">1.50</w:t>
            </w:r>
          </w:p>
        </w:tc>
      </w:tr>
      <w:tr>
        <w:tc>
          <w:tcPr/>
          <w:p>
            <w:pPr>
              <w:pStyle w:val="Compact"/>
              <w:jc w:val="left"/>
            </w:pPr>
            <w:r>
              <w:t xml:space="preserve">Scope 3: Upstream Value Chain Emissions</w:t>
            </w:r>
          </w:p>
        </w:tc>
        <w:tc>
          <w:tcPr/>
          <w:p>
            <w:pPr>
              <w:pStyle w:val="Compact"/>
              <w:jc w:val="left"/>
            </w:pPr>
            <w:r>
              <w:t xml:space="preserve">3.76</w:t>
            </w:r>
          </w:p>
        </w:tc>
      </w:tr>
      <w:tr>
        <w:tc>
          <w:tcPr/>
          <w:p>
            <w:pPr>
              <w:pStyle w:val="Compact"/>
              <w:jc w:val="left"/>
            </w:pPr>
            <w:r>
              <w:t xml:space="preserve">Scope 3: Downstream Value Chain Emissions</w:t>
            </w:r>
          </w:p>
        </w:tc>
        <w:tc>
          <w:tcPr/>
          <w:p>
            <w:pPr>
              <w:pStyle w:val="Compact"/>
              <w:jc w:val="left"/>
            </w:pPr>
            <w:r>
              <w:t xml:space="preserve">30.81</w:t>
            </w:r>
          </w:p>
        </w:tc>
      </w:tr>
      <w:tr>
        <w:tc>
          <w:tcPr/>
          <w:p>
            <w:pPr>
              <w:pStyle w:val="Compact"/>
              <w:jc w:val="left"/>
            </w:pPr>
            <w:r>
              <w:t xml:space="preserve">TOTAL PRODUCT CARBON FOOTPRINT</w:t>
            </w:r>
          </w:p>
        </w:tc>
        <w:tc>
          <w:tcPr/>
          <w:p>
            <w:pPr>
              <w:pStyle w:val="Compact"/>
              <w:jc w:val="left"/>
            </w:pPr>
            <w:r>
              <w:t xml:space="preserve">36.07</w:t>
            </w:r>
          </w:p>
        </w:tc>
      </w:tr>
    </w:tbl>
    <w:bookmarkEnd w:id="41"/>
    <w:bookmarkEnd w:id="42"/>
    <w:p>
      <w:r>
        <w:pict>
          <v:rect style="width:0;height:1.5pt" o:hralign="center" o:hrstd="t" o:hr="t"/>
        </w:pict>
      </w:r>
    </w:p>
    <w:bookmarkStart w:id="46" w:name="review-report"/>
    <w:p>
      <w:pPr>
        <w:pStyle w:val="Heading2"/>
      </w:pPr>
      <w:r>
        <w:t xml:space="preserve">5. Review &amp; Report</w:t>
      </w:r>
    </w:p>
    <w:bookmarkStart w:id="43" w:name="identified-hotspots"/>
    <w:p>
      <w:pPr>
        <w:pStyle w:val="Heading3"/>
      </w:pPr>
      <w:r>
        <w:t xml:space="preserve">5.1 Identified Hotspots</w:t>
      </w:r>
    </w:p>
    <w:p>
      <w:pPr>
        <w:pStyle w:val="FirstParagraph"/>
      </w:pPr>
      <w:r>
        <w:t xml:space="preserve">The analysis reveals the following key emission hotspots for rjrmfwxxow:</w:t>
      </w:r>
    </w:p>
    <w:p>
      <w:pPr>
        <w:numPr>
          <w:ilvl w:val="0"/>
          <w:numId w:val="1016"/>
        </w:numPr>
        <w:pStyle w:val="Compact"/>
      </w:pPr>
      <w:r>
        <w:rPr>
          <w:bCs/>
          <w:b/>
        </w:rPr>
        <w:t xml:space="preserve">Use Phase (30.00 kgCO2e/unit):</w:t>
      </w:r>
      <w:r>
        <w:t xml:space="preserve"> </w:t>
      </w:r>
      <w:r>
        <w:t xml:space="preserve">This stage accounts for the largest portion of the total PCF, primarily driven by the product\'s electricity consumption over its 5-year lifespan. This is a common hotspot for electronic devices.</w:t>
      </w:r>
    </w:p>
    <w:p>
      <w:pPr>
        <w:numPr>
          <w:ilvl w:val="0"/>
          <w:numId w:val="1016"/>
        </w:numPr>
        <w:pStyle w:val="Compact"/>
      </w:pPr>
      <w:r>
        <w:rPr>
          <w:bCs/>
          <w:b/>
        </w:rPr>
        <w:t xml:space="preserve">Material Acquisition &amp; Processing (3.725 kgCO2e/unit):</w:t>
      </w:r>
      <w:r>
        <w:t xml:space="preserve"> </w:t>
      </w:r>
      <w:r>
        <w:t xml:space="preserve">The manufacturing of electronic components (specifically the Printed Circuit Board and Li-ion Battery) contributes significantly due to their energy-intensive production processes and complex supply chains.</w:t>
      </w:r>
    </w:p>
    <w:p>
      <w:pPr>
        <w:numPr>
          <w:ilvl w:val="0"/>
          <w:numId w:val="1016"/>
        </w:numPr>
        <w:pStyle w:val="Compact"/>
      </w:pPr>
      <w:r>
        <w:rPr>
          <w:bCs/>
          <w:b/>
        </w:rPr>
        <w:t xml:space="preserve">Last-Mile Delivery (0.500 kgCO2e/unit):</w:t>
      </w:r>
      <w:r>
        <w:t xml:space="preserve"> </w:t>
      </w:r>
      <w:r>
        <w:t xml:space="preserve">While smaller than the use phase, this localized transport step represents a notable contribution due to the inherent inefficiencies of individual parcel deliveries.</w:t>
      </w:r>
    </w:p>
    <w:bookmarkEnd w:id="43"/>
    <w:bookmarkStart w:id="44" w:name="reliability-statement"/>
    <w:p>
      <w:pPr>
        <w:pStyle w:val="Heading3"/>
      </w:pPr>
      <w:r>
        <w:t xml:space="preserve">5.2 Reliability Statement</w:t>
      </w:r>
    </w:p>
    <w:p>
      <w:pPr>
        <w:pStyle w:val="FirstParagraph"/>
      </w:pPr>
      <w:r>
        <w:t xml:space="preserve">The reliability of this PCF analysis is considered high, given the utilization of specific primary data inputs for the Bill of Materials (`fjfjsoku`), transport logistics (`Select Mode`, `johtmodqtx`, `Delivery Type`), production energy (`wyjgdfwkzm`, `vpqneimotl`), use phase (`dryphlvmmo`, `ufgfjhpqtp`), and end-of-life scenarios (`nrkywkyfzi`, `rjhjqzoyes`). Secondary data, including emission factors, are based on recognized industry standards (e.g., Ecoinvent, DEFRA principles), ensuring a robust and defensible assessment. The adherence to GHG Protocol standards, including the conceptual consideration of the 2026 LSR update and the aim for 95% Scope 3 coverage, further enhances the credibility and completeness of this report.</w:t>
      </w:r>
    </w:p>
    <w:bookmarkEnd w:id="44"/>
    <w:bookmarkStart w:id="45" w:name="recommendations-for-emission-reduction"/>
    <w:p>
      <w:pPr>
        <w:pStyle w:val="Heading3"/>
      </w:pPr>
      <w:r>
        <w:t xml:space="preserve">5.3 Recommendations for Emission Reduction</w:t>
      </w:r>
    </w:p>
    <w:p>
      <w:pPr>
        <w:pStyle w:val="FirstParagraph"/>
      </w:pPr>
      <w:r>
        <w:t xml:space="preserve">Based on the identified hotspots, xokhmxzkty could focus on the following strategies to reduce the carbon footprint of rjrmfwxxow:</w:t>
      </w:r>
    </w:p>
    <w:p>
      <w:pPr>
        <w:numPr>
          <w:ilvl w:val="0"/>
          <w:numId w:val="1017"/>
        </w:numPr>
        <w:pStyle w:val="Compact"/>
      </w:pPr>
      <w:r>
        <w:rPr>
          <w:bCs/>
          <w:b/>
        </w:rPr>
        <w:t xml:space="preserve">Optimize Use Phase Efficiency:</w:t>
      </w:r>
      <w:r>
        <w:t xml:space="preserve"> </w:t>
      </w:r>
      <w:r>
        <w:t xml:space="preserve">Invest in R&amp;D to significantly reduce the product\'s energy consumption during its operational lifespan. Promoting energy-efficient usage patterns to customers could also be beneficial.</w:t>
      </w:r>
    </w:p>
    <w:p>
      <w:pPr>
        <w:numPr>
          <w:ilvl w:val="0"/>
          <w:numId w:val="1017"/>
        </w:numPr>
        <w:pStyle w:val="Compact"/>
      </w:pPr>
      <w:r>
        <w:rPr>
          <w:bCs/>
          <w:b/>
        </w:rPr>
        <w:t xml:space="preserve">Sustainable Material Sourcing:</w:t>
      </w:r>
      <w:r>
        <w:t xml:space="preserve"> </w:t>
      </w:r>
      <w:r>
        <w:t xml:space="preserve">Explore alternative materials for high-impact components, prioritize suppliers utilizing renewable energy in their manufacturing, and increase the recycled content of plastics, metals, and electronic components where feasible.</w:t>
      </w:r>
    </w:p>
    <w:p>
      <w:pPr>
        <w:numPr>
          <w:ilvl w:val="0"/>
          <w:numId w:val="1017"/>
        </w:numPr>
        <w:pStyle w:val="Compact"/>
      </w:pPr>
      <w:r>
        <w:rPr>
          <w:bCs/>
          <w:b/>
        </w:rPr>
        <w:t xml:space="preserve">Enhance Circularity:</w:t>
      </w:r>
      <w:r>
        <w:t xml:space="preserve"> </w:t>
      </w:r>
      <w:r>
        <w:t xml:space="preserve">Leverage the existing circular/take-back programs to maximize recycling rates and explore opportunities for component refurbishment and remanufacturing to extend product life and reduce demand for virgin materials.</w:t>
      </w:r>
    </w:p>
    <w:p>
      <w:pPr>
        <w:numPr>
          <w:ilvl w:val="0"/>
          <w:numId w:val="1017"/>
        </w:numPr>
        <w:pStyle w:val="Compact"/>
      </w:pPr>
      <w:r>
        <w:rPr>
          <w:bCs/>
          <w:b/>
        </w:rPr>
        <w:t xml:space="preserve">Green Logistics:</w:t>
      </w:r>
      <w:r>
        <w:t xml:space="preserve"> </w:t>
      </w:r>
      <w:r>
        <w:t xml:space="preserve">Investigate opportunities to optimize transport routes, utilize lower-emission transport modes where practical, and collaborate with logistics partners committed to decarbonization, especially for last-mile delivery.</w:t>
      </w:r>
    </w:p>
    <w:bookmarkEnd w:id="45"/>
    <w:bookmarkEnd w:id="4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rjrmfwxxow - xokhmxzkty</dc:title>
  <dc:creator/>
  <dc:description>Detailed Product Carbon Footprint (PCF) analysis for rjrmfwxxow by xokhmxzkty, specializing in GHG Protocol. Report covers lifecycle emissions, material impact, logistics, and end-of-life scenarios.</dc:description>
  <dc:language>en</dc:language>
  <cp:keywords/>
  <dcterms:created xsi:type="dcterms:W3CDTF">2026-05-30T22:18:29Z</dcterms:created>
  <dcterms:modified xsi:type="dcterms:W3CDTF">2026-05-30T22:18:29Z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