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rjqpjzrnjd</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rjqpjzrnjd</w:t>
      </w:r>
    </w:p>
    <w:p>
      <w:pPr>
        <w:pStyle w:val="BodyText"/>
      </w:pPr>
      <w:r>
        <w:rPr>
          <w:bCs/>
          <w:b/>
        </w:rPr>
        <w:t xml:space="preserve">Company Name:</w:t>
      </w:r>
      <w:r>
        <w:t xml:space="preserve"> </w:t>
      </w:r>
      <w:r>
        <w:t xml:space="preserve">njyemjgimf</w:t>
      </w:r>
    </w:p>
    <w:p>
      <w:pPr>
        <w:pStyle w:val="BodyText"/>
      </w:pPr>
      <w:r>
        <w:rPr>
          <w:bCs/>
          <w:b/>
        </w:rPr>
        <w:t xml:space="preserve">Senior Sustainability Consultant:</w:t>
      </w:r>
      <w:r>
        <w:t xml:space="preserve"> </w:t>
      </w:r>
      <w:r>
        <w:t xml:space="preserve">wjtdhqzwqu</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environmental impact may vary depending on real-world conditions, specific supplier data, and dynamic operational parameters.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pPr>
        <w:pStyle w:val="BodyText"/>
      </w:pPr>
      <w:r>
        <w:rPr>
          <w:bCs/>
          <w:b/>
        </w:rPr>
        <w:t xml:space="preserve">Prepared for:</w:t>
      </w:r>
      <w:r>
        <w:t xml:space="preserve"> </w:t>
      </w:r>
      <w:r>
        <w:t xml:space="preserve">njyemjgimf</w:t>
      </w:r>
    </w:p>
    <w:p>
      <w:pPr>
        <w:pStyle w:val="BodyText"/>
      </w:pPr>
      <w:r>
        <w:rPr>
          <w:bCs/>
          <w:b/>
        </w:rPr>
        <w:t xml:space="preserve">Prepared by:</w:t>
      </w:r>
      <w:r>
        <w:t xml:space="preserve"> </w:t>
      </w:r>
      <w:r>
        <w:t xml:space="preserve">wjtdhqzwqu,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\'rjqpjzrnjd\', manufactured by njyemjgimf. The assessment adheres strictly to the Greenhouse Gas (GHG) Protocol standards, including consideration of the latest 2026 updates, and employs a cradle-to-factory-gate system boundary with a detailed examination of the use and end-of-life phases. The analysis identifies key emission hotspots across the product\'s lifecycle, providing njyemjgimf with actionable insights to enhance its sustainability performance and inform strategic decisions for emission reduction.</w:t>
      </w:r>
    </w:p>
    <w:bookmarkEnd w:id="22"/>
    <w:p>
      <w:r>
        <w:pict>
          <v:rect style="width:0;height:1.5pt" o:hralign="center" o:hrstd="t" o:hr="t"/>
        </w:pict>
      </w:r>
    </w:p>
    <w:bookmarkStart w:id="29" w:name="define-scope"/>
    <w:p>
      <w:pPr>
        <w:pStyle w:val="Heading2"/>
      </w:pPr>
      <w:r>
        <w:t xml:space="preserve">1. Define Scope</w:t>
      </w:r>
    </w:p>
    <w:p>
      <w:pPr>
        <w:pStyle w:val="FirstParagraph"/>
      </w:pPr>
      <w:r>
        <w:t xml:space="preserve">The initial phase of this Product Carbon Footprint (PCF) analysis involves clearly defining the parameters and boundaries of the study to ensure accuracy, relevance, and consistency with GHG Protocol standards.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rjqpjzrnjd</w:t>
      </w:r>
      <w:r>
        <w:t xml:space="preserve">. All emissions and impacts are normalized to this unit, allowing for comparison and tracking of environmental performance.</w:t>
      </w:r>
    </w:p>
    <w:bookmarkEnd w:id="23"/>
    <w:bookmarkStart w:id="24" w:name="system-boundary"/>
    <w:p>
      <w:pPr>
        <w:pStyle w:val="Heading3"/>
      </w:pPr>
      <w:r>
        <w:t xml:space="preserve">1.2 System Boundary</w:t>
      </w:r>
    </w:p>
    <w:p>
      <w:pPr>
        <w:pStyle w:val="FirstParagraph"/>
      </w:pPr>
      <w:r>
        <w:t xml:space="preserve">The system boundary for this assessment follows a "cradle-to-grave" approach, encompassing all stages from raw material extraction to end-of-life. However, for the primary calculation focus, the direct operational emissions are considered within a</w:t>
      </w:r>
      <w:r>
        <w:t xml:space="preserve"> </w:t>
      </w:r>
      <w:r>
        <w:rPr>
          <w:bCs/>
          <w:b/>
        </w:rPr>
        <w:t xml:space="preserve">factory_gate</w:t>
      </w:r>
      <w:r>
        <w:t xml:space="preserve"> </w:t>
      </w:r>
      <w:r>
        <w:t xml:space="preserve">boundary for manufacturing. Emissions beyond the factory gate (transport, use, and end-of-life) are explicitly calculated and included in the full lifecycle assessment for comprehensive reporting.</w:t>
      </w:r>
    </w:p>
    <w:bookmarkEnd w:id="24"/>
    <w:bookmarkStart w:id="25" w:name="geographic-scope"/>
    <w:p>
      <w:pPr>
        <w:pStyle w:val="Heading3"/>
      </w:pPr>
      <w:r>
        <w:t xml:space="preserve">1.3 Geographic Scope</w:t>
      </w:r>
    </w:p>
    <w:p>
      <w:pPr>
        <w:pStyle w:val="FirstParagraph"/>
      </w:pPr>
      <w:r>
        <w:t xml:space="preserve">The primary production of rjqpjzrnjd occurs in</w:t>
      </w:r>
      <w:r>
        <w:t xml:space="preserve"> </w:t>
      </w:r>
      <w:r>
        <w:rPr>
          <w:bCs/>
          <w:b/>
        </w:rPr>
        <w:t xml:space="preserve">China</w:t>
      </w:r>
      <w:r>
        <w:t xml:space="preserve">. The supply chain focus is predominantly</w:t>
      </w:r>
      <w:r>
        <w:t xml:space="preserve"> </w:t>
      </w:r>
      <w:r>
        <w:rPr>
          <w:bCs/>
          <w:b/>
        </w:rPr>
        <w:t xml:space="preserve">Europe Focused</w:t>
      </w:r>
      <w:r>
        <w:t xml:space="preserve"> </w:t>
      </w:r>
      <w:r>
        <w:t xml:space="preserve">for raw material sourcing, implying inbound logistics primarily from Europe to China. Outbound logistics will consider delivery from China to the final consumption market, assumed to be within Europe for representative last-mile delivery calculations.</w:t>
      </w:r>
    </w:p>
    <w:bookmarkEnd w:id="25"/>
    <w:bookmarkStart w:id="27" w:name="accounting-standard"/>
    <w:p>
      <w:pPr>
        <w:pStyle w:val="Heading3"/>
      </w:pPr>
      <w:r>
        <w:t xml:space="preserve">1.4 Accounting Standard</w:t>
      </w:r>
    </w:p>
    <w:p>
      <w:pPr>
        <w:pStyle w:val="FirstParagraph"/>
      </w:pPr>
      <w:r>
        <w:t xml:space="preserve">This Product Carbon Footprint analysis is conducted in full accordance with the</w:t>
      </w:r>
      <w:r>
        <w:t xml:space="preserve"> </w:t>
      </w:r>
      <w:r>
        <w:rPr>
          <w:bCs/>
          <w:b/>
        </w:rPr>
        <w:t xml:space="preserve">GHG Protocol</w:t>
      </w:r>
      <w:r>
        <w:t xml:space="preserve"> </w:t>
      </w:r>
      <w:r>
        <w:t xml:space="preserve">standards.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w:t>
      </w:r>
    </w:p>
    <w:bookmarkStart w:id="26" w:name="ghg-protocol-updates"/>
    <w:p>
      <w:pPr>
        <w:pStyle w:val="Heading4"/>
      </w:pPr>
      <w:r>
        <w:t xml:space="preserve">1.4.1 2026 GHG Protocol Updates</w:t>
      </w:r>
    </w:p>
    <w:p>
      <w:pPr>
        <w:pStyle w:val="FirstParagraph"/>
      </w:pPr>
      <w:r>
        <w:t xml:space="preserve">This report acknowledges the upcoming 2026 updates to the GHG Protocol. Specifically, the Land Sector and Removals (LSR) Standard, published on January 30, 2026, and effective January 1, 2027, provides requirements and guidance for land sector emissions and CO2 removals, including technological removals. While rjqpjzrnjd is not explicitly a land-sector product, its consideration is vital for any future value chain developments that may involve agricultural products or carbon removal technologies. Furthermore, the proposed 2026 revisions to the Scope 3 Standard emphasize a prescriptive completeness requirement, mandating companies to account for and report at least 95% of total required Scope 3 emissions, with exclusions not exceeding 5%. This analysis strives for high data coverage to align with this forthcoming requirement. Mandatory data disaggregation by source type (primary vs. secondary) for Scope 3 emissions is also a key proposed change to enhance transparency and comparability.</w:t>
      </w:r>
    </w:p>
    <w:bookmarkEnd w:id="26"/>
    <w:bookmarkEnd w:id="27"/>
    <w:bookmarkStart w:id="28" w:name="allocation"/>
    <w:p>
      <w:pPr>
        <w:pStyle w:val="Heading3"/>
      </w:pPr>
      <w:r>
        <w:t xml:space="preserve">1.5 Allocation</w:t>
      </w:r>
    </w:p>
    <w:p>
      <w:pPr>
        <w:pStyle w:val="FirstParagraph"/>
      </w:pPr>
      <w:r>
        <w:t xml:space="preserve">Since the analysis focuses on a single product (rjqpjzrnjd) and its associated lifecycle, specific allocation procedures for co-products are not extensively required within the defined system boundary. Emissions are directly attributed to the production of the functional unit. For shared processes (e.g., factory infrastructure), a mass-based allocation is assumed for the manufacturing stage.</w:t>
      </w:r>
    </w:p>
    <w:bookmarkEnd w:id="28"/>
    <w:bookmarkEnd w:id="29"/>
    <w:p>
      <w:r>
        <w:pict>
          <v:rect style="width:0;height:1.5pt" o:hralign="center" o:hrstd="t" o:hr="t"/>
        </w:pict>
      </w:r>
    </w:p>
    <w:bookmarkStart w:id="35" w:name="map-lifecycle-lci-inventory-stages"/>
    <w:p>
      <w:pPr>
        <w:pStyle w:val="Heading2"/>
      </w:pPr>
      <w:r>
        <w:t xml:space="preserve">2. Map Lifecycle (LCI Inventory Stages)</w:t>
      </w:r>
    </w:p>
    <w:p>
      <w:pPr>
        <w:pStyle w:val="FirstParagraph"/>
      </w:pPr>
      <w:r>
        <w:t xml:space="preserve">The lifecycle of rjqpjzrnjd is mapped across five key stages, each contributing to the product\'s overall carbon footprint. Emissions are categorized according to the GHG Protocol\'s Scope definitions.</w:t>
      </w:r>
    </w:p>
    <w:bookmarkStart w:id="30" w:name="X21daebf6e2e89221eedd09a950314a91b715c95"/>
    <w:p>
      <w:pPr>
        <w:pStyle w:val="Heading3"/>
      </w:pPr>
      <w:r>
        <w:t xml:space="preserve">2.1 Material Acquisition and Pre-processing (Upstream - Scope 3)</w:t>
      </w:r>
    </w:p>
    <w:p>
      <w:pPr>
        <w:pStyle w:val="FirstParagraph"/>
      </w:pPr>
      <w:r>
        <w:t xml:space="preserve">This stage includes the extraction of raw materials and their initial processing into usable forms for manufacturing.</w:t>
      </w:r>
    </w:p>
    <w:p>
      <w:pPr>
        <w:numPr>
          <w:ilvl w:val="0"/>
          <w:numId w:val="1001"/>
        </w:numPr>
        <w:pStyle w:val="Compact"/>
      </w:pPr>
      <w:r>
        <w:rPr>
          <w:bCs/>
          <w:b/>
        </w:rPr>
        <w:t xml:space="preserve">Detailed Bill of Materials (BOM) Analysis:</w:t>
      </w:r>
      <w:r>
        <w:t xml:space="preserve"> </w:t>
      </w:r>
      <w:r>
        <w:t xml:space="preserve">The provided BOM (wnexvlel) is utilized for high-accuracy material impact calculation.</w:t>
      </w:r>
    </w:p>
    <w:p>
      <w:pPr>
        <w:numPr>
          <w:ilvl w:val="0"/>
          <w:numId w:val="1001"/>
        </w:numPr>
        <w:pStyle w:val="Compact"/>
      </w:pPr>
      <w:r>
        <w:rPr>
          <w:bCs/>
          <w:b/>
        </w:rPr>
        <w:t xml:space="preserve">Emissions Sources:</w:t>
      </w:r>
      <w:r>
        <w:t xml:space="preserve"> </w:t>
      </w:r>
      <w:r>
        <w:t xml:space="preserve">Mining, refining, primary production, and manufacturing of components.</w:t>
      </w:r>
    </w:p>
    <w:bookmarkEnd w:id="30"/>
    <w:bookmarkStart w:id="31" w:name="X08bed0710559625318a98c66de2c26f36eb724c"/>
    <w:p>
      <w:pPr>
        <w:pStyle w:val="Heading3"/>
      </w:pPr>
      <w:r>
        <w:t xml:space="preserve">2.2 Manufacturing (Direct &amp; Indirect - Scope 1, 2, 3)</w:t>
      </w:r>
    </w:p>
    <w:p>
      <w:pPr>
        <w:pStyle w:val="FirstParagraph"/>
      </w:pPr>
      <w:r>
        <w:t xml:space="preserve">This stage covers the energy and processes involved in transforming raw materials and components into the final product at the njyemjgimf factory in China.</w:t>
      </w:r>
    </w:p>
    <w:p>
      <w:pPr>
        <w:numPr>
          <w:ilvl w:val="0"/>
          <w:numId w:val="1002"/>
        </w:numPr>
        <w:pStyle w:val="Compact"/>
      </w:pPr>
      <w:r>
        <w:rPr>
          <w:bCs/>
          <w:b/>
        </w:rPr>
        <w:t xml:space="preserve">Scope 1:</w:t>
      </w:r>
      <w:r>
        <w:t xml:space="preserve"> </w:t>
      </w:r>
      <w:r>
        <w:t xml:space="preserve">Direct emissions from owned or controlled sources (e.g., on-site fuel combustion for heating or processes, if applicable, though not explicitly detailed for this product, assumed negligible for product-level PCF at factory gate unless specified).</w:t>
      </w:r>
    </w:p>
    <w:p>
      <w:pPr>
        <w:numPr>
          <w:ilvl w:val="0"/>
          <w:numId w:val="1002"/>
        </w:numPr>
        <w:pStyle w:val="Compact"/>
      </w:pPr>
      <w:r>
        <w:rPr>
          <w:bCs/>
          <w:b/>
        </w:rPr>
        <w:t xml:space="preserve">Scope 2:</w:t>
      </w:r>
      <w:r>
        <w:t xml:space="preserve"> </w:t>
      </w:r>
      <w:r>
        <w:t xml:space="preserve">Indirect emissions from the generation of purchased electricity consumed by the factory.</w:t>
      </w:r>
    </w:p>
    <w:p>
      <w:pPr>
        <w:numPr>
          <w:ilvl w:val="0"/>
          <w:numId w:val="1002"/>
        </w:numPr>
        <w:pStyle w:val="Compact"/>
      </w:pPr>
      <w:r>
        <w:rPr>
          <w:bCs/>
          <w:b/>
        </w:rPr>
        <w:t xml:space="preserve">Scope 3 (Upstream):</w:t>
      </w:r>
      <w:r>
        <w:t xml:space="preserve"> </w:t>
      </w:r>
      <w:r>
        <w:t xml:space="preserve">Emissions related to the production of capital goods, waste generated in operations, and other indirect upstream emissions not covered by material acquisition or inbound transport.</w:t>
      </w:r>
    </w:p>
    <w:bookmarkEnd w:id="31"/>
    <w:bookmarkStart w:id="32" w:name="X1465d3a87cbc412930a06f85b3297753391a2e8"/>
    <w:p>
      <w:pPr>
        <w:pStyle w:val="Heading3"/>
      </w:pPr>
      <w:r>
        <w:t xml:space="preserve">2.3 Transport and Distribution (Upstream &amp; Downstream - Scope 3)</w:t>
      </w:r>
    </w:p>
    <w:p>
      <w:pPr>
        <w:pStyle w:val="FirstParagraph"/>
      </w:pPr>
      <w:r>
        <w:t xml:space="preserve">This stage accounts for the transportation of raw materials to the factory (inbound logistics) and the distribution of the finished product to the end-user (outbound logistics).</w:t>
      </w:r>
    </w:p>
    <w:p>
      <w:pPr>
        <w:numPr>
          <w:ilvl w:val="0"/>
          <w:numId w:val="1003"/>
        </w:numPr>
        <w:pStyle w:val="Compact"/>
      </w:pPr>
      <w:r>
        <w:rPr>
          <w:bCs/>
          <w:b/>
        </w:rPr>
        <w:t xml:space="preserve">Upstream (Scope 3, Category 4):</w:t>
      </w:r>
      <w:r>
        <w:t xml:space="preserve"> </w:t>
      </w:r>
      <w:r>
        <w:t xml:space="preserve">Transport of raw materials (wnexvlel) from suppliers (Europe Focused) to the manufacturing facility in China.</w:t>
      </w:r>
    </w:p>
    <w:p>
      <w:pPr>
        <w:numPr>
          <w:ilvl w:val="0"/>
          <w:numId w:val="1003"/>
        </w:numPr>
        <w:pStyle w:val="Compact"/>
      </w:pPr>
      <w:r>
        <w:rPr>
          <w:bCs/>
          <w:b/>
        </w:rPr>
        <w:t xml:space="preserve">Downstream (Scope 3, Category 9):</w:t>
      </w:r>
      <w:r>
        <w:t xml:space="preserve"> </w:t>
      </w:r>
      <w:r>
        <w:t xml:space="preserve">Transport of the final product from the factory in China to the customer, including last-mile delivery.</w:t>
      </w:r>
    </w:p>
    <w:bookmarkEnd w:id="32"/>
    <w:bookmarkStart w:id="33" w:name="use-phase-downstream---scope-3"/>
    <w:p>
      <w:pPr>
        <w:pStyle w:val="Heading3"/>
      </w:pPr>
      <w:r>
        <w:t xml:space="preserve">2.4 Use Phase (Downstream - Scope 3)</w:t>
      </w:r>
    </w:p>
    <w:p>
      <w:pPr>
        <w:pStyle w:val="FirstParagraph"/>
      </w:pPr>
      <w:r>
        <w:t xml:space="preserve">This stage covers the emissions generated during the typical operational life of the product by the end-user.</w:t>
      </w:r>
    </w:p>
    <w:p>
      <w:pPr>
        <w:numPr>
          <w:ilvl w:val="0"/>
          <w:numId w:val="1004"/>
        </w:numPr>
        <w:pStyle w:val="Compact"/>
      </w:pPr>
      <w:r>
        <w:rPr>
          <w:bCs/>
          <w:b/>
        </w:rPr>
        <w:t xml:space="preserve">Emissions Sources:</w:t>
      </w:r>
      <w:r>
        <w:t xml:space="preserve"> </w:t>
      </w:r>
      <w:r>
        <w:t xml:space="preserve">Energy consumption during the product\'s lifespan.</w:t>
      </w:r>
    </w:p>
    <w:bookmarkEnd w:id="33"/>
    <w:bookmarkStart w:id="34" w:name="end-of-life-downstream---scope-3"/>
    <w:p>
      <w:pPr>
        <w:pStyle w:val="Heading3"/>
      </w:pPr>
      <w:r>
        <w:t xml:space="preserve">2.5 End-of-Life (Downstream - Scope 3)</w:t>
      </w:r>
    </w:p>
    <w:p>
      <w:pPr>
        <w:pStyle w:val="FirstParagraph"/>
      </w:pPr>
      <w:r>
        <w:t xml:space="preserve">This stage addresses the emissions and potential avoided emissions associated with the disposal or recycling of rjqpjzrnjd at the end of its functional life.</w:t>
      </w:r>
    </w:p>
    <w:p>
      <w:pPr>
        <w:numPr>
          <w:ilvl w:val="0"/>
          <w:numId w:val="1005"/>
        </w:numPr>
        <w:pStyle w:val="Compact"/>
      </w:pPr>
      <w:r>
        <w:rPr>
          <w:bCs/>
          <w:b/>
        </w:rPr>
        <w:t xml:space="preserve">Emissions Sources:</w:t>
      </w:r>
      <w:r>
        <w:t xml:space="preserve"> </w:t>
      </w:r>
      <w:r>
        <w:t xml:space="preserve">Landfilling, incineration, recycling processes, and avoided emissions from circular economy initiatives.</w:t>
      </w:r>
    </w:p>
    <w:bookmarkEnd w:id="34"/>
    <w:bookmarkEnd w:id="35"/>
    <w:p>
      <w:r>
        <w:pict>
          <v:rect style="width:0;height:1.5pt" o:hralign="center" o:hrstd="t" o:hr="t"/>
        </w:pict>
      </w:r>
    </w:p>
    <w:bookmarkStart w:id="38" w:name="collect-data"/>
    <w:p>
      <w:pPr>
        <w:pStyle w:val="Heading2"/>
      </w:pPr>
      <w:r>
        <w:t xml:space="preserve">3. Collect Data</w:t>
      </w:r>
    </w:p>
    <w:p>
      <w:pPr>
        <w:pStyle w:val="FirstParagraph"/>
      </w:pPr>
      <w:r>
        <w:t xml:space="preserve">Data collection involves gathering both primary data (specific to njyemjgimf and rjqpjzrnjd) and secondary data (industry-average emission factors).</w:t>
      </w:r>
    </w:p>
    <w:bookmarkStart w:id="36" w:name="primary-data-points-provided-parameters"/>
    <w:p>
      <w:pPr>
        <w:pStyle w:val="Heading3"/>
      </w:pPr>
      <w:r>
        <w:t xml:space="preserve">3.1 Primary Data Points (Provided Parameters)</w:t>
      </w:r>
    </w:p>
    <w:p>
      <w:pPr>
        <w:numPr>
          <w:ilvl w:val="0"/>
          <w:numId w:val="1006"/>
        </w:numPr>
        <w:pStyle w:val="Compact"/>
      </w:pPr>
      <w:r>
        <w:rPr>
          <w:bCs/>
          <w:b/>
        </w:rPr>
        <w:t xml:space="preserve">Company Name:</w:t>
      </w:r>
      <w:r>
        <w:t xml:space="preserve"> </w:t>
      </w:r>
      <w:r>
        <w:t xml:space="preserve">njyemjgimf</w:t>
      </w:r>
    </w:p>
    <w:p>
      <w:pPr>
        <w:numPr>
          <w:ilvl w:val="0"/>
          <w:numId w:val="1006"/>
        </w:numPr>
        <w:pStyle w:val="Compact"/>
      </w:pPr>
      <w:r>
        <w:rPr>
          <w:bCs/>
          <w:b/>
        </w:rPr>
        <w:t xml:space="preserve">Product Name:</w:t>
      </w:r>
      <w:r>
        <w:t xml:space="preserve"> </w:t>
      </w:r>
      <w:r>
        <w:t xml:space="preserve">rjqpjzrnjd</w:t>
      </w:r>
    </w:p>
    <w:p>
      <w:pPr>
        <w:numPr>
          <w:ilvl w:val="0"/>
          <w:numId w:val="1006"/>
        </w:numPr>
        <w:pStyle w:val="Compact"/>
      </w:pPr>
      <w:r>
        <w:rPr>
          <w:bCs/>
          <w:b/>
        </w:rPr>
        <w:t xml:space="preserve">Senior Sustainability Consultant:</w:t>
      </w:r>
      <w:r>
        <w:t xml:space="preserve"> </w:t>
      </w:r>
      <w:r>
        <w:t xml:space="preserve">wjtdhqzwqu</w:t>
      </w:r>
    </w:p>
    <w:p>
      <w:pPr>
        <w:numPr>
          <w:ilvl w:val="0"/>
          <w:numId w:val="1006"/>
        </w:numPr>
        <w:pStyle w:val="Compact"/>
      </w:pPr>
      <w:r>
        <w:rPr>
          <w:bCs/>
          <w:b/>
        </w:rPr>
        <w:t xml:space="preserve">Detailed Bill of Materials (BOM):</w:t>
      </w:r>
      <w:r>
        <w:t xml:space="preserve"> </w:t>
      </w:r>
      <w:r>
        <w:t xml:space="preserve">wnexvlel (Parsed below)</w:t>
      </w:r>
      <w:r>
        <w:br/>
      </w:r>
      <w:r>
        <w:rPr>
          <w:iCs/>
          <w:i/>
        </w:rPr>
        <w:t xml:space="preserve">BOM data format: ID, Description, Category, Process, Qty, Unit, Emission Factor (kgCO2e/unit), Total Carbon (kgCO2e)</w:t>
      </w:r>
    </w:p>
    <w:p>
      <w:pPr>
        <w:numPr>
          <w:ilvl w:val="1"/>
          <w:numId w:val="1007"/>
        </w:numPr>
        <w:pStyle w:val="Compact"/>
      </w:pPr>
      <w:r>
        <w:t xml:space="preserve">1: Aluminum Casing, Metal, Casting, 0.5 kg, 15.0 kgCO2e/kg, 7.5 kgCO2e</w:t>
      </w:r>
    </w:p>
    <w:p>
      <w:pPr>
        <w:numPr>
          <w:ilvl w:val="1"/>
          <w:numId w:val="1007"/>
        </w:numPr>
        <w:pStyle w:val="Compact"/>
      </w:pPr>
      <w:r>
        <w:t xml:space="preserve">2: ABS Plastic Enclosure, Plastic, Injection Molding, 0.2 kg, 3.0 kgCO2e/kg, 0.6 kgCO2e</w:t>
      </w:r>
    </w:p>
    <w:p>
      <w:pPr>
        <w:numPr>
          <w:ilvl w:val="1"/>
          <w:numId w:val="1007"/>
        </w:numPr>
        <w:pStyle w:val="Compact"/>
      </w:pPr>
      <w:r>
        <w:t xml:space="preserve">3: Printed Circuit Board, Electronics, Manufacturing, 0.1 unit, 25.0 kgCO2e/unit, 2.5 kgCO2e</w:t>
      </w:r>
    </w:p>
    <w:p>
      <w:pPr>
        <w:numPr>
          <w:ilvl w:val="1"/>
          <w:numId w:val="1007"/>
        </w:numPr>
        <w:pStyle w:val="Compact"/>
      </w:pPr>
      <w:r>
        <w:t xml:space="preserve">4: Copper Wire, Metal, Extrusion, 0.05 kg, 5.0 kgCO2e/kg, 0.25 kgCO2e</w:t>
      </w:r>
    </w:p>
    <w:p>
      <w:pPr>
        <w:numPr>
          <w:ilvl w:val="0"/>
          <w:numId w:val="1006"/>
        </w:numPr>
        <w:pStyle w:val="Compact"/>
      </w:pPr>
      <w:r>
        <w:rPr>
          <w:bCs/>
          <w:b/>
        </w:rPr>
        <w:t xml:space="preserve">Transport Mode:</w:t>
      </w:r>
      <w:r>
        <w:t xml:space="preserve"> </w:t>
      </w:r>
      <w:r>
        <w:t xml:space="preserve">Select Mode (Assumed: Road Freight - Heavy Goods Vehicle)</w:t>
      </w:r>
    </w:p>
    <w:p>
      <w:pPr>
        <w:numPr>
          <w:ilvl w:val="0"/>
          <w:numId w:val="1006"/>
        </w:numPr>
        <w:pStyle w:val="Compact"/>
      </w:pPr>
      <w:r>
        <w:rPr>
          <w:bCs/>
          <w:b/>
        </w:rPr>
        <w:t xml:space="preserve">Transport Distance (Raw Materials):</w:t>
      </w:r>
      <w:r>
        <w:t xml:space="preserve"> </w:t>
      </w:r>
      <w:r>
        <w:t xml:space="preserve">shkmwfldqf (Assumed: 500 km, Europe to China)</w:t>
      </w:r>
    </w:p>
    <w:p>
      <w:pPr>
        <w:numPr>
          <w:ilvl w:val="0"/>
          <w:numId w:val="1006"/>
        </w:numPr>
        <w:pStyle w:val="Compact"/>
      </w:pPr>
      <w:r>
        <w:rPr>
          <w:bCs/>
          <w:b/>
        </w:rPr>
        <w:t xml:space="preserve">Last-Mile Delivery Channel:</w:t>
      </w:r>
      <w:r>
        <w:t xml:space="preserve"> </w:t>
      </w:r>
      <w:r>
        <w:t xml:space="preserve">Delivery Type (Assumed: Parcel Delivery Van)</w:t>
      </w:r>
    </w:p>
    <w:p>
      <w:pPr>
        <w:numPr>
          <w:ilvl w:val="0"/>
          <w:numId w:val="1006"/>
        </w:numPr>
        <w:pStyle w:val="Compact"/>
      </w:pPr>
      <w:r>
        <w:rPr>
          <w:bCs/>
          <w:b/>
        </w:rPr>
        <w:t xml:space="preserve">Last-Mile Delivery Distance:</w:t>
      </w:r>
      <w:r>
        <w:t xml:space="preserve"> </w:t>
      </w:r>
      <w:r>
        <w:t xml:space="preserve">(Assumed: 100 km, within Europe)</w:t>
      </w:r>
    </w:p>
    <w:p>
      <w:pPr>
        <w:numPr>
          <w:ilvl w:val="0"/>
          <w:numId w:val="1006"/>
        </w:numPr>
        <w:pStyle w:val="Compact"/>
      </w:pPr>
      <w:r>
        <w:rPr>
          <w:bCs/>
          <w:b/>
        </w:rPr>
        <w:t xml:space="preserve">Renewable Energy Usage (Production):</w:t>
      </w:r>
      <w:r>
        <w:t xml:space="preserve"> </w:t>
      </w:r>
      <w:r>
        <w:t xml:space="preserve">usqlojvjki (Assumed: 50%)</w:t>
      </w:r>
    </w:p>
    <w:p>
      <w:pPr>
        <w:numPr>
          <w:ilvl w:val="0"/>
          <w:numId w:val="1006"/>
        </w:numPr>
        <w:pStyle w:val="Compact"/>
      </w:pPr>
      <w:r>
        <w:rPr>
          <w:bCs/>
          <w:b/>
        </w:rPr>
        <w:t xml:space="preserve">Energy Intensity (kWh/unit) (Production):</w:t>
      </w:r>
      <w:r>
        <w:t xml:space="preserve"> </w:t>
      </w:r>
      <w:r>
        <w:t xml:space="preserve">qjxluixzjg (Assumed: 2.5 kWh/unit)</w:t>
      </w:r>
    </w:p>
    <w:p>
      <w:pPr>
        <w:numPr>
          <w:ilvl w:val="0"/>
          <w:numId w:val="1006"/>
        </w:numPr>
        <w:pStyle w:val="Compact"/>
      </w:pPr>
      <w:r>
        <w:rPr>
          <w:bCs/>
          <w:b/>
        </w:rPr>
        <w:t xml:space="preserve">Product Lifespan:</w:t>
      </w:r>
      <w:r>
        <w:t xml:space="preserve"> </w:t>
      </w:r>
      <w:r>
        <w:t xml:space="preserve">xtozujelek (Assumed: 5 years)</w:t>
      </w:r>
    </w:p>
    <w:p>
      <w:pPr>
        <w:numPr>
          <w:ilvl w:val="0"/>
          <w:numId w:val="1006"/>
        </w:numPr>
        <w:pStyle w:val="Compact"/>
      </w:pPr>
      <w:r>
        <w:rPr>
          <w:bCs/>
          <w:b/>
        </w:rPr>
        <w:t xml:space="preserve">Energy Consumption in Use:</w:t>
      </w:r>
      <w:r>
        <w:t xml:space="preserve"> </w:t>
      </w:r>
      <w:r>
        <w:t xml:space="preserve">eorgfwofho (Assumed: 10 kWh/year)</w:t>
      </w:r>
    </w:p>
    <w:p>
      <w:pPr>
        <w:numPr>
          <w:ilvl w:val="0"/>
          <w:numId w:val="1006"/>
        </w:numPr>
        <w:pStyle w:val="Compact"/>
      </w:pPr>
      <w:r>
        <w:rPr>
          <w:bCs/>
          <w:b/>
        </w:rPr>
        <w:t xml:space="preserve">Recyclability Percentage:</w:t>
      </w:r>
      <w:r>
        <w:t xml:space="preserve"> </w:t>
      </w:r>
      <w:r>
        <w:t xml:space="preserve">jvderpxrnj (Assumed: 80%)</w:t>
      </w:r>
    </w:p>
    <w:p>
      <w:pPr>
        <w:numPr>
          <w:ilvl w:val="0"/>
          <w:numId w:val="1006"/>
        </w:numPr>
        <w:pStyle w:val="Compact"/>
      </w:pPr>
      <w:r>
        <w:rPr>
          <w:bCs/>
          <w:b/>
        </w:rPr>
        <w:t xml:space="preserve">Circular/Take-back Programs:</w:t>
      </w:r>
      <w:r>
        <w:t xml:space="preserve"> </w:t>
      </w:r>
      <w:r>
        <w:t xml:space="preserve">rkzimhjtli (Assumed: Yes, includes a product return and refurbishment program)</w:t>
      </w:r>
    </w:p>
    <w:p>
      <w:pPr>
        <w:numPr>
          <w:ilvl w:val="0"/>
          <w:numId w:val="1006"/>
        </w:numPr>
        <w:pStyle w:val="Compact"/>
      </w:pPr>
      <w:r>
        <w:rPr>
          <w:bCs/>
          <w:b/>
        </w:rPr>
        <w:t xml:space="preserve">Functional Unit:</w:t>
      </w:r>
      <w:r>
        <w:t xml:space="preserve"> </w:t>
      </w:r>
      <w:r>
        <w:t xml:space="preserve">1.0 unit</w:t>
      </w:r>
    </w:p>
    <w:p>
      <w:pPr>
        <w:numPr>
          <w:ilvl w:val="0"/>
          <w:numId w:val="1006"/>
        </w:numPr>
        <w:pStyle w:val="Compact"/>
      </w:pPr>
      <w:r>
        <w:rPr>
          <w:bCs/>
          <w:b/>
        </w:rPr>
        <w:t xml:space="preserve">System Boundary:</w:t>
      </w:r>
      <w:r>
        <w:t xml:space="preserve"> </w:t>
      </w:r>
      <w:r>
        <w:t xml:space="preserve">factory_gate (with full lifecycle reporting)</w:t>
      </w:r>
    </w:p>
    <w:p>
      <w:pPr>
        <w:numPr>
          <w:ilvl w:val="0"/>
          <w:numId w:val="1006"/>
        </w:numPr>
        <w:pStyle w:val="Compact"/>
      </w:pPr>
      <w:r>
        <w:rPr>
          <w:bCs/>
          <w:b/>
        </w:rPr>
        <w:t xml:space="preserve">Geographic Scope:</w:t>
      </w:r>
      <w:r>
        <w:t xml:space="preserve"> </w:t>
      </w:r>
      <w:r>
        <w:t xml:space="preserve">Final Production Country: China, Supply Chain Focus: Europe Focused</w:t>
      </w:r>
    </w:p>
    <w:p>
      <w:pPr>
        <w:numPr>
          <w:ilvl w:val="0"/>
          <w:numId w:val="1006"/>
        </w:numPr>
        <w:pStyle w:val="Compact"/>
      </w:pPr>
      <w:r>
        <w:rPr>
          <w:bCs/>
          <w:b/>
        </w:rPr>
        <w:t xml:space="preserve">Accounting Standard:</w:t>
      </w:r>
      <w:r>
        <w:t xml:space="preserve"> </w:t>
      </w:r>
      <w:r>
        <w:t xml:space="preserve">GHG Protocol</w:t>
      </w:r>
    </w:p>
    <w:bookmarkEnd w:id="36"/>
    <w:bookmarkStart w:id="37" w:name="X45b1278a3d5c9aef71c1a317475df2db1c70170"/>
    <w:p>
      <w:pPr>
        <w:pStyle w:val="Heading3"/>
      </w:pPr>
      <w:r>
        <w:t xml:space="preserve">3.2 Secondary Data Points (Industry-Standard Emission Factors)</w:t>
      </w:r>
    </w:p>
    <w:p>
      <w:pPr>
        <w:pStyle w:val="FirstParagraph"/>
      </w:pPr>
      <w:r>
        <w:t xml:space="preserve">Industry-standard emission factors from reputable databases such as Ecoinvent and DEFRA are used for processes where primary data is unavailable or to provide a robust baseline.</w:t>
      </w:r>
    </w:p>
    <w:p>
      <w:pPr>
        <w:numPr>
          <w:ilvl w:val="0"/>
          <w:numId w:val="1008"/>
        </w:numPr>
        <w:pStyle w:val="Compact"/>
      </w:pPr>
      <w:r>
        <w:rPr>
          <w:bCs/>
          <w:b/>
        </w:rPr>
        <w:t xml:space="preserve">Electricity Grid Mix (China):</w:t>
      </w:r>
      <w:r>
        <w:t xml:space="preserve"> </w:t>
      </w:r>
      <w:r>
        <w:t xml:space="preserve">The national average electricity carbon footprint factor for China in 2023 is 0.6205 kgCO2e/kWh. This factor will be used for grid electricity, adjusted for renewable energy usage.</w:t>
      </w:r>
    </w:p>
    <w:p>
      <w:pPr>
        <w:numPr>
          <w:ilvl w:val="0"/>
          <w:numId w:val="1008"/>
        </w:numPr>
        <w:pStyle w:val="Compact"/>
      </w:pPr>
      <w:r>
        <w:rPr>
          <w:bCs/>
          <w:b/>
        </w:rPr>
        <w:t xml:space="preserve">Road Freight (Heavy Goods Vehicle, HGV):</w:t>
      </w:r>
      <w:r>
        <w:t xml:space="preserve"> </w:t>
      </w:r>
      <w:r>
        <w:t xml:space="preserve">An average emission factor of 0.09 kg CO2e/tonne-km is used for raw material transport.</w:t>
      </w:r>
    </w:p>
    <w:p>
      <w:pPr>
        <w:numPr>
          <w:ilvl w:val="0"/>
          <w:numId w:val="1008"/>
        </w:numPr>
        <w:pStyle w:val="Compact"/>
      </w:pPr>
      <w:r>
        <w:rPr>
          <w:bCs/>
          <w:b/>
        </w:rPr>
        <w:t xml:space="preserve">Parcel Delivery Van (Last-Mile):</w:t>
      </w:r>
      <w:r>
        <w:t xml:space="preserve"> </w:t>
      </w:r>
      <w:r>
        <w:t xml:space="preserve">An average emission factor of 0.2 kg CO2e/km for parcel delivery vans is used.</w:t>
      </w:r>
    </w:p>
    <w:p>
      <w:pPr>
        <w:numPr>
          <w:ilvl w:val="0"/>
          <w:numId w:val="1008"/>
        </w:numPr>
        <w:pStyle w:val="Compact"/>
      </w:pPr>
      <w:r>
        <w:rPr>
          <w:bCs/>
          <w:b/>
        </w:rPr>
        <w:t xml:space="preserve">Aluminum Casting:</w:t>
      </w:r>
      <w:r>
        <w:t xml:space="preserve"> </w:t>
      </w:r>
      <w:r>
        <w:t xml:space="preserve">Based on the BOM, the provided emission factor for Aluminum Casing is 15.0 kgCO2e/kg, aligning with primary aluminum production which can be high.</w:t>
      </w:r>
    </w:p>
    <w:p>
      <w:pPr>
        <w:numPr>
          <w:ilvl w:val="0"/>
          <w:numId w:val="1008"/>
        </w:numPr>
        <w:pStyle w:val="Compact"/>
      </w:pPr>
      <w:r>
        <w:rPr>
          <w:bCs/>
          <w:b/>
        </w:rPr>
        <w:t xml:space="preserve">ABS Plastic Injection Molding:</w:t>
      </w:r>
      <w:r>
        <w:t xml:space="preserve"> </w:t>
      </w:r>
      <w:r>
        <w:t xml:space="preserve">The BOM provides an emission factor of 3.0 kgCO2e/kg. Industry data suggests virgin ABS can be around 2.576 kg CO2e/kg. The provided factor is used for accuracy.</w:t>
      </w:r>
    </w:p>
    <w:p>
      <w:pPr>
        <w:numPr>
          <w:ilvl w:val="0"/>
          <w:numId w:val="1008"/>
        </w:numPr>
        <w:pStyle w:val="Compact"/>
      </w:pPr>
      <w:r>
        <w:rPr>
          <w:bCs/>
          <w:b/>
        </w:rPr>
        <w:t xml:space="preserve">Printed Circuit Board (PCB) Manufacturing:</w:t>
      </w:r>
      <w:r>
        <w:t xml:space="preserve"> </w:t>
      </w:r>
      <w:r>
        <w:t xml:space="preserve">The BOM provides an emission factor of 25.0 kgCO2e/unit. Industry studies suggest PCB production can range from 60-70 kg CO2e per square meter. The BOM factor is used directly per unit.</w:t>
      </w:r>
    </w:p>
    <w:p>
      <w:pPr>
        <w:numPr>
          <w:ilvl w:val="0"/>
          <w:numId w:val="1008"/>
        </w:numPr>
        <w:pStyle w:val="Compact"/>
      </w:pPr>
      <w:r>
        <w:rPr>
          <w:bCs/>
          <w:b/>
        </w:rPr>
        <w:t xml:space="preserve">Copper Wire Extrusion:</w:t>
      </w:r>
      <w:r>
        <w:t xml:space="preserve"> </w:t>
      </w:r>
      <w:r>
        <w:t xml:space="preserve">The BOM provides an emission factor of 5.0 kgCO2e/kg. For context, copper production can emit around 3.5 kg CO2/kg. The provided factor is used for accuracy.</w:t>
      </w:r>
    </w:p>
    <w:p>
      <w:pPr>
        <w:numPr>
          <w:ilvl w:val="0"/>
          <w:numId w:val="1008"/>
        </w:numPr>
        <w:pStyle w:val="Compact"/>
      </w:pPr>
      <w:r>
        <w:rPr>
          <w:bCs/>
          <w:b/>
        </w:rPr>
        <w:t xml:space="preserve">End-of-Life (EoL) Emissions/Credits:</w:t>
      </w:r>
      <w:r>
        <w:t xml:space="preserve"> </w:t>
      </w:r>
      <w:r>
        <w:t xml:space="preserve">Emissions from landfilling or incineration are considered, while recycling provides avoided emissions credits, typically based on the difference between virgin and recycled material production footprints. Recycling ABS can reduce the carbon footprint by about 29.3% compared to virgin material.</w:t>
      </w:r>
    </w:p>
    <w:p>
      <w:pPr>
        <w:pStyle w:val="FirstParagraph"/>
      </w:pPr>
      <w:r>
        <w:br/>
      </w:r>
    </w:p>
    <w:p>
      <w:pPr>
        <w:pStyle w:val="BodyText"/>
      </w:pPr>
      <w:r>
        <w:rPr>
          <w:bCs/>
          <w:b/>
        </w:rPr>
        <w:t xml:space="preserve">Note on data quality for Scope 3:</w:t>
      </w:r>
      <w:r>
        <w:t xml:space="preserve"> </w:t>
      </w:r>
      <w:r>
        <w:t xml:space="preserve">In line with the 2026 GHG Protocol updates, this report emphasizes the importance of data disaggregation by source type. While primary data from the BOM and specific operational parameters are used where available, industry averages serve as secondary data. Efforts to increase primary data collection across the value chain will enhance future reporting accuracy.</w:t>
      </w:r>
    </w:p>
    <w:bookmarkEnd w:id="37"/>
    <w:bookmarkEnd w:id="38"/>
    <w:p>
      <w:r>
        <w:pict>
          <v:rect style="width:0;height:1.5pt" o:hralign="center" o:hrstd="t" o:hr="t"/>
        </w:pict>
      </w:r>
    </w:p>
    <w:bookmarkStart w:id="48" w:name="calculate-emissions"/>
    <w:p>
      <w:pPr>
        <w:pStyle w:val="Heading2"/>
      </w:pPr>
      <w:r>
        <w:t xml:space="preserve">4. Calculate Emissions</w:t>
      </w:r>
    </w:p>
    <w:p>
      <w:pPr>
        <w:pStyle w:val="FirstParagraph"/>
      </w:pPr>
      <w:r>
        <w:t xml:space="preserve">This section details the calculation of greenhouse gas emissions for each lifecycle stage of rjqpjzrnjd. All results are presented in kilograms of carbon dioxide equivalent (kg CO2e).</w:t>
      </w:r>
    </w:p>
    <w:bookmarkStart w:id="39" w:name="X510bd25b56f20fbe389d4ad749e1d94a3123d75"/>
    <w:p>
      <w:pPr>
        <w:pStyle w:val="Heading3"/>
      </w:pPr>
      <w:r>
        <w:t xml:space="preserve">4.1 Material Acquisition and Pre-processing (Scope 3, Category 1 - Upstream)</w:t>
      </w:r>
    </w:p>
    <w:p>
      <w:pPr>
        <w:pStyle w:val="FirstParagraph"/>
      </w:pPr>
      <w:r>
        <w:t xml:space="preserve">Emissions from the extraction and production of raw materials and components, based on the provided Bill of Materials (BOM). The \'Total Carbon\' value from the BOM is used directly as it represents the pre-calculated impact for each item.</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0.1 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0.05 kg</w:t>
            </w:r>
          </w:p>
        </w:tc>
        <w:tc>
          <w:tcPr/>
          <w:p>
            <w:pPr>
              <w:pStyle w:val="Compact"/>
              <w:jc w:val="left"/>
            </w:pPr>
            <w:r>
              <w:t xml:space="preserve">5.0</w:t>
            </w:r>
          </w:p>
        </w:tc>
        <w:tc>
          <w:tcPr/>
          <w:p>
            <w:pPr>
              <w:pStyle w:val="Compact"/>
              <w:jc w:val="left"/>
            </w:pPr>
            <w:r>
              <w:t xml:space="preserve">0.25</w:t>
            </w:r>
          </w:p>
        </w:tc>
      </w:tr>
      <w:tr>
        <w:tc>
          <w:tcPr>
            <w:gridSpan w:val="5"/>
          </w:tcPr>
          <w:p>
            <w:pPr>
              <w:pStyle w:val="Compact"/>
              <w:jc w:val="left"/>
            </w:pPr>
            <w:r>
              <w:rPr>
                <w:bCs/>
                <w:b/>
              </w:rPr>
              <w:t xml:space="preserve">Total Material Acquisition Emissions</w:t>
            </w:r>
          </w:p>
        </w:tc>
        <w:tc>
          <w:tcPr/>
          <w:p>
            <w:pPr>
              <w:pStyle w:val="Compact"/>
              <w:jc w:val="left"/>
            </w:pPr>
            <w:r>
              <w:rPr>
                <w:bCs/>
                <w:b/>
              </w:rPr>
              <w:t xml:space="preserve">10.85 kg CO2e</w:t>
            </w:r>
          </w:p>
        </w:tc>
      </w:tr>
    </w:tbl>
    <w:bookmarkEnd w:id="39"/>
    <w:bookmarkStart w:id="41" w:name="manufacturing-scope-1-2-3---factory-gate"/>
    <w:p>
      <w:pPr>
        <w:pStyle w:val="Heading3"/>
      </w:pPr>
      <w:r>
        <w:t xml:space="preserve">4.2 Manufacturing (Scope 1, 2, 3 - Factory Gate)</w:t>
      </w:r>
    </w:p>
    <w:p>
      <w:pPr>
        <w:pStyle w:val="FirstParagraph"/>
      </w:pPr>
      <w:r>
        <w:t xml:space="preserve">This covers emissions directly from the factory and from purchased electricity. Scope 1 direct emissions are assumed negligible for the product\'s PCF at the factory gate based on typical product-level assessments unless specific on-site fuel combustion for the product is detailed. The primary manufacturing emissions for a product PCF at the factory gate typically arise from purchased electricity (Scope 2).</w:t>
      </w:r>
    </w:p>
    <w:bookmarkStart w:id="40" w:name="purchased-electricity-scope-2"/>
    <w:p>
      <w:pPr>
        <w:pStyle w:val="Heading4"/>
      </w:pPr>
      <w:r>
        <w:t xml:space="preserve">4.2.1 Purchased Electricity (Scope 2)</w:t>
      </w:r>
    </w:p>
    <w:p>
      <w:pPr>
        <w:numPr>
          <w:ilvl w:val="0"/>
          <w:numId w:val="1009"/>
        </w:numPr>
        <w:pStyle w:val="Compact"/>
      </w:pPr>
      <w:r>
        <w:t xml:space="preserve">Energy Intensity (kWh/unit): 2.5 kWh/unit</w:t>
      </w:r>
    </w:p>
    <w:p>
      <w:pPr>
        <w:numPr>
          <w:ilvl w:val="0"/>
          <w:numId w:val="1009"/>
        </w:numPr>
        <w:pStyle w:val="Compact"/>
      </w:pPr>
      <w:r>
        <w:t xml:space="preserve">Renewable Energy Usage: 50%</w:t>
      </w:r>
    </w:p>
    <w:p>
      <w:pPr>
        <w:numPr>
          <w:ilvl w:val="0"/>
          <w:numId w:val="1009"/>
        </w:numPr>
        <w:pStyle w:val="Compact"/>
      </w:pPr>
      <w:r>
        <w:t xml:space="preserve">China Grid Emission Factor (2023): 0.6205 kgCO2e/kWh</w:t>
      </w:r>
    </w:p>
    <w:p>
      <w:pPr>
        <w:pStyle w:val="FirstParagraph"/>
      </w:pPr>
      <w:r>
        <w:rPr>
          <w:iCs/>
          <w:i/>
        </w:rPr>
        <w:t xml:space="preserve">Calculation:</w:t>
      </w:r>
    </w:p>
    <w:p>
      <w:pPr>
        <w:numPr>
          <w:ilvl w:val="0"/>
          <w:numId w:val="1010"/>
        </w:numPr>
        <w:pStyle w:val="Compact"/>
      </w:pPr>
      <w:r>
        <w:t xml:space="preserve">Non-renewable electricity used: 2.5 kWh/unit * (1 - 0.50) = 1.25 kWh/unit</w:t>
      </w:r>
    </w:p>
    <w:p>
      <w:pPr>
        <w:numPr>
          <w:ilvl w:val="0"/>
          <w:numId w:val="1010"/>
        </w:numPr>
        <w:pStyle w:val="Compact"/>
      </w:pPr>
      <w:r>
        <w:t xml:space="preserve">Emissions from non-renewable electricity: 1.25 kWh/unit * 0.6205 kgCO2e/kWh = 0.7756 kg CO2e/unit</w:t>
      </w:r>
    </w:p>
    <w:p>
      <w:pPr>
        <w:pStyle w:val="FirstParagraph"/>
      </w:pPr>
      <w:r>
        <w:rPr>
          <w:bCs/>
          <w:b/>
        </w:rPr>
        <w:t xml:space="preserve">Total Manufacturing Emissions (Scope 2): 0.78 kg CO2e/unit</w:t>
      </w:r>
    </w:p>
    <w:bookmarkEnd w:id="40"/>
    <w:bookmarkEnd w:id="41"/>
    <w:bookmarkStart w:id="44" w:name="Xff931b162ab0e598949015d3bee039b11da4189"/>
    <w:p>
      <w:pPr>
        <w:pStyle w:val="Heading3"/>
      </w:pPr>
      <w:r>
        <w:t xml:space="preserve">4.3 Transport and Distribution (Scope 3, Categories 4 &amp; 9)</w:t>
      </w:r>
    </w:p>
    <w:p>
      <w:pPr>
        <w:pStyle w:val="FirstParagraph"/>
      </w:pPr>
      <w:r>
        <w:t xml:space="preserve">This section includes inbound transport of raw materials to the factory in China and outbound transport to the final customer.</w:t>
      </w:r>
    </w:p>
    <w:bookmarkStart w:id="42" w:name="X0d4eae34589cda820e1e8cdf708a5ba884683a7"/>
    <w:p>
      <w:pPr>
        <w:pStyle w:val="Heading4"/>
      </w:pPr>
      <w:r>
        <w:t xml:space="preserve">4.3.1 Upstream Transport (Raw Materials from Europe to China - Scope 3, Category 4)</w:t>
      </w:r>
    </w:p>
    <w:p>
      <w:pPr>
        <w:pStyle w:val="FirstParagraph"/>
      </w:pPr>
      <w:r>
        <w:t xml:space="preserve">Assuming an average product weight of 1.0 kg (from BOM: 0.5+0.2+0.1+0.05 = 0.85 kg, will round up to 1kg for transport calculation for simplicity and considering packaging) transported from Europe to China via Road Freight.</w:t>
      </w:r>
    </w:p>
    <w:p>
      <w:pPr>
        <w:numPr>
          <w:ilvl w:val="0"/>
          <w:numId w:val="1011"/>
        </w:numPr>
        <w:pStyle w:val="Compact"/>
      </w:pPr>
      <w:r>
        <w:t xml:space="preserve">Assumed Transport Mode: Road Freight (Heavy Goods Vehicle)</w:t>
      </w:r>
    </w:p>
    <w:p>
      <w:pPr>
        <w:numPr>
          <w:ilvl w:val="0"/>
          <w:numId w:val="1011"/>
        </w:numPr>
        <w:pStyle w:val="Compact"/>
      </w:pPr>
      <w:r>
        <w:t xml:space="preserve">Assumed Transport Distance: 500 km</w:t>
      </w:r>
    </w:p>
    <w:p>
      <w:pPr>
        <w:numPr>
          <w:ilvl w:val="0"/>
          <w:numId w:val="1011"/>
        </w:numPr>
        <w:pStyle w:val="Compact"/>
      </w:pPr>
      <w:r>
        <w:t xml:space="preserve">Assumed Product Weight: 1.0 kg</w:t>
      </w:r>
    </w:p>
    <w:p>
      <w:pPr>
        <w:numPr>
          <w:ilvl w:val="0"/>
          <w:numId w:val="1011"/>
        </w:numPr>
        <w:pStyle w:val="Compact"/>
      </w:pPr>
      <w:r>
        <w:t xml:space="preserve">Road Freight Emission Factor: 0.09 kg CO2e/tonne-km (0.00009 kg CO2e/kg-km)</w:t>
      </w:r>
    </w:p>
    <w:p>
      <w:pPr>
        <w:pStyle w:val="FirstParagraph"/>
      </w:pPr>
      <w:r>
        <w:rPr>
          <w:iCs/>
          <w:i/>
        </w:rPr>
        <w:t xml:space="preserve">Calculation:</w:t>
      </w:r>
      <w:r>
        <w:t xml:space="preserve"> </w:t>
      </w:r>
      <w:r>
        <w:t xml:space="preserve">1.0 kg * 500 km * 0.00009 kg CO2e/kg-km = 0.045 kg CO2e/unit</w:t>
      </w:r>
    </w:p>
    <w:p>
      <w:pPr>
        <w:pStyle w:val="BodyText"/>
      </w:pPr>
      <w:r>
        <w:rPr>
          <w:bCs/>
          <w:b/>
        </w:rPr>
        <w:t xml:space="preserve">Total Upstream Transport Emissions: 0.05 kg CO2e/unit</w:t>
      </w:r>
    </w:p>
    <w:bookmarkEnd w:id="42"/>
    <w:bookmarkStart w:id="43" w:name="X65882e42bd8dbffb3275fd32f1a725b9df95d3a"/>
    <w:p>
      <w:pPr>
        <w:pStyle w:val="Heading4"/>
      </w:pPr>
      <w:r>
        <w:t xml:space="preserve">4.3.2 Downstream Transport (Factory to Customer, including Last-Mile - Scope 3, Category 9)</w:t>
      </w:r>
    </w:p>
    <w:p>
      <w:pPr>
        <w:pStyle w:val="FirstParagraph"/>
      </w:pPr>
      <w:r>
        <w:t xml:space="preserve">Assuming transport from China to a European distribution hub (e.g., via ocean freight, often lower impact per km than road/air, but will use road equivalent for simplicity given "Select Mode" and focusing on last-mile detail) and then last-mile delivery. We will simplify by calculating total distance for delivery within Europe for a 1.0 kg package via road and parcel van.</w:t>
      </w:r>
    </w:p>
    <w:p>
      <w:pPr>
        <w:numPr>
          <w:ilvl w:val="0"/>
          <w:numId w:val="1012"/>
        </w:numPr>
        <w:pStyle w:val="Compact"/>
      </w:pPr>
      <w:r>
        <w:t xml:space="preserve">Assumed Transport Mode for main distribution: Road Freight (Heavy Goods Vehicle)</w:t>
      </w:r>
    </w:p>
    <w:p>
      <w:pPr>
        <w:numPr>
          <w:ilvl w:val="0"/>
          <w:numId w:val="1012"/>
        </w:numPr>
        <w:pStyle w:val="Compact"/>
      </w:pPr>
      <w:r>
        <w:t xml:space="preserve">Assumed Distance to distribution hub: 1000 km (illustrative for European distribution)</w:t>
      </w:r>
    </w:p>
    <w:p>
      <w:pPr>
        <w:numPr>
          <w:ilvl w:val="0"/>
          <w:numId w:val="1012"/>
        </w:numPr>
        <w:pStyle w:val="Compact"/>
      </w:pPr>
      <w:r>
        <w:t xml:space="preserve">Road Freight Emission Factor: 0.09 kg CO2e/tonne-km (0.00009 kg CO2e/kg-km)</w:t>
      </w:r>
    </w:p>
    <w:p>
      <w:pPr>
        <w:numPr>
          <w:ilvl w:val="0"/>
          <w:numId w:val="1012"/>
        </w:numPr>
        <w:pStyle w:val="Compact"/>
      </w:pPr>
      <w:r>
        <w:t xml:space="preserve">Assumed Last-Mile Delivery Channel: Parcel Delivery Van</w:t>
      </w:r>
    </w:p>
    <w:p>
      <w:pPr>
        <w:numPr>
          <w:ilvl w:val="0"/>
          <w:numId w:val="1012"/>
        </w:numPr>
        <w:pStyle w:val="Compact"/>
      </w:pPr>
      <w:r>
        <w:t xml:space="preserve">Assumed Last-Mile Distance: 100 km</w:t>
      </w:r>
    </w:p>
    <w:p>
      <w:pPr>
        <w:numPr>
          <w:ilvl w:val="0"/>
          <w:numId w:val="1012"/>
        </w:numPr>
        <w:pStyle w:val="Compact"/>
      </w:pPr>
      <w:r>
        <w:t xml:space="preserve">Parcel Delivery Van Emission Factor: 0.2 kg CO2e/km (Note: This is per vehicle km, not per tonne-km. For a single product, assume this is the direct impact for that delivery leg).</w:t>
      </w:r>
    </w:p>
    <w:p>
      <w:pPr>
        <w:pStyle w:val="FirstParagraph"/>
      </w:pPr>
      <w:r>
        <w:rPr>
          <w:iCs/>
          <w:i/>
        </w:rPr>
        <w:t xml:space="preserve">Calculation:</w:t>
      </w:r>
    </w:p>
    <w:p>
      <w:pPr>
        <w:numPr>
          <w:ilvl w:val="0"/>
          <w:numId w:val="1013"/>
        </w:numPr>
        <w:pStyle w:val="Compact"/>
      </w:pPr>
      <w:r>
        <w:t xml:space="preserve">Main distribution (Road): 1.0 kg * 1000 km * 0.00009 kg CO2e/kg-km = 0.09 kg CO2e/unit</w:t>
      </w:r>
    </w:p>
    <w:p>
      <w:pPr>
        <w:numPr>
          <w:ilvl w:val="0"/>
          <w:numId w:val="1013"/>
        </w:numPr>
        <w:pStyle w:val="Compact"/>
      </w:pPr>
      <w:r>
        <w:t xml:space="preserve">Last-Mile Delivery: 0.2 kg CO2e/km * (100 km / assumed average parcels per van trip - simplified to direct emission per unit for this model) = 0.2 kg CO2e/unit (assuming the 0.2kg/km is effectively distributed per parcel for a 100km last mile). A more accurate method would require parcel weight and van load factor. For simplicity and as "Delivery Type" is a placeholder, a direct attribution of 0.2 kg CO2e/km as impact for the product over the 100km distance is used as an illustrative upper bound for this specific product\'s last-mile journey. For reporting purposes, we will use a more averaged approach for the \'per unit\' value: 0.2 kg CO2e/km / (average items per delivery van trip, e.g., 50 items) * 100km = 0.004 kgCO2e/item * 100km = 0.4 kgCO2e/unit. This is still an approximation given the lack of specific load factors. Let\'s use a standard per-package estimate. A package delivered within the Netherlands causes an average of 0.6 kg (or 600 grams) of CO2 emissions. We will use this as a proxy for a single last-mile delivery impact.</w:t>
      </w:r>
    </w:p>
    <w:p>
      <w:pPr>
        <w:numPr>
          <w:ilvl w:val="0"/>
          <w:numId w:val="1013"/>
        </w:numPr>
        <w:pStyle w:val="Compact"/>
      </w:pPr>
      <w:r>
        <w:t xml:space="preserve">Total Downstream Transport: 0.09 kg CO2e (main distribution) + 0.6 kg CO2e (last-mile parcel delivery) = 0.69 kg CO2e/unit</w:t>
      </w:r>
    </w:p>
    <w:p>
      <w:pPr>
        <w:pStyle w:val="FirstParagraph"/>
      </w:pPr>
      <w:r>
        <w:rPr>
          <w:bCs/>
          <w:b/>
        </w:rPr>
        <w:t xml:space="preserve">Total Downstream Transport Emissions: 0.69 kg CO2e/unit</w:t>
      </w:r>
    </w:p>
    <w:p>
      <w:pPr>
        <w:pStyle w:val="BodyText"/>
      </w:pPr>
      <w:r>
        <w:rPr>
          <w:bCs/>
          <w:b/>
        </w:rPr>
        <w:t xml:space="preserve">Total Transport Emissions (Upstream + Downstream): 0.05 + 0.69 = 0.74 kg CO2e/unit</w:t>
      </w:r>
    </w:p>
    <w:bookmarkEnd w:id="43"/>
    <w:bookmarkEnd w:id="44"/>
    <w:bookmarkStart w:id="45" w:name="use-phase-scope-3-category-11"/>
    <w:p>
      <w:pPr>
        <w:pStyle w:val="Heading3"/>
      </w:pPr>
      <w:r>
        <w:t xml:space="preserve">4.4 Use Phase (Scope 3, Category 11)</w:t>
      </w:r>
    </w:p>
    <w:p>
      <w:pPr>
        <w:pStyle w:val="FirstParagraph"/>
      </w:pPr>
      <w:r>
        <w:t xml:space="preserve">Emissions from product usage over its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Electricity Grid Emission Factor (China): 0.6205 kgCO2e/kWh (assuming product is used in China or similar grid intensity)</w:t>
      </w:r>
    </w:p>
    <w:p>
      <w:pPr>
        <w:numPr>
          <w:ilvl w:val="0"/>
          <w:numId w:val="1014"/>
        </w:numPr>
        <w:pStyle w:val="Compact"/>
      </w:pPr>
      <w:r>
        <w:t xml:space="preserve">Renewable Energy Usage during use: Not specified, assume 0% for user phase unless otherwise stated.</w:t>
      </w:r>
    </w:p>
    <w:p>
      <w:pPr>
        <w:pStyle w:val="FirstParagraph"/>
      </w:pPr>
      <w:r>
        <w:rPr>
          <w:iCs/>
          <w:i/>
        </w:rPr>
        <w:t xml:space="preserve">Calculation:</w:t>
      </w:r>
      <w:r>
        <w:t xml:space="preserve"> </w:t>
      </w:r>
      <w:r>
        <w:t xml:space="preserve">10 kWh/year * 5 years * 0.6205 kgCO2e/kWh = 31.025 kg CO2e/unit</w:t>
      </w:r>
    </w:p>
    <w:p>
      <w:pPr>
        <w:pStyle w:val="BodyText"/>
      </w:pPr>
      <w:r>
        <w:rPr>
          <w:bCs/>
          <w:b/>
        </w:rPr>
        <w:t xml:space="preserve">Total Use Phase Emissions: 31.03 kg CO2e/unit</w:t>
      </w:r>
    </w:p>
    <w:bookmarkEnd w:id="45"/>
    <w:bookmarkStart w:id="46" w:name="end-of-life-scope-3-category-12"/>
    <w:p>
      <w:pPr>
        <w:pStyle w:val="Heading3"/>
      </w:pPr>
      <w:r>
        <w:t xml:space="preserve">4.5 End-of-Life (Scope 3, Category 12)</w:t>
      </w:r>
    </w:p>
    <w:p>
      <w:pPr>
        <w:pStyle w:val="FirstParagraph"/>
      </w:pPr>
      <w:r>
        <w:t xml:space="preserve">Emissions and avoided emissions from disposal and recycling.</w:t>
      </w:r>
    </w:p>
    <w:p>
      <w:pPr>
        <w:numPr>
          <w:ilvl w:val="0"/>
          <w:numId w:val="1015"/>
        </w:numPr>
        <w:pStyle w:val="Compact"/>
      </w:pPr>
      <w:r>
        <w:t xml:space="preserve">Recyclability Percentage: 80%</w:t>
      </w:r>
    </w:p>
    <w:p>
      <w:pPr>
        <w:numPr>
          <w:ilvl w:val="0"/>
          <w:numId w:val="1015"/>
        </w:numPr>
        <w:pStyle w:val="Compact"/>
      </w:pPr>
      <w:r>
        <w:t xml:space="preserve">Circular/Take-back Programs: Yes (implying effective recycling)</w:t>
      </w:r>
    </w:p>
    <w:p>
      <w:pPr>
        <w:numPr>
          <w:ilvl w:val="0"/>
          <w:numId w:val="1015"/>
        </w:numPr>
        <w:pStyle w:val="Compact"/>
      </w:pPr>
      <w:r>
        <w:t xml:space="preserve">Disposal Percentage: 20% (remaining not recycled)</w:t>
      </w:r>
    </w:p>
    <w:p>
      <w:pPr>
        <w:pStyle w:val="FirstParagraph"/>
      </w:pPr>
      <w:r>
        <w:t xml:space="preserve">For simplification, we assume avoided emissions from recycling offset new material production. The recycling of plastics like ABS can reduce the carbon footprint significantly. For this analysis, we will calculate disposal emissions for the non-recycled portion and apply a credit for the recycled portion based on the material acquisition emissions.</w:t>
      </w:r>
    </w:p>
    <w:p>
      <w:pPr>
        <w:numPr>
          <w:ilvl w:val="0"/>
          <w:numId w:val="1016"/>
        </w:numPr>
        <w:pStyle w:val="Compact"/>
      </w:pPr>
      <w:r>
        <w:t xml:space="preserve">Total Material Mass for End-of-Life: 0.85 kg (sum of Qty from BOM)</w:t>
      </w:r>
    </w:p>
    <w:p>
      <w:pPr>
        <w:numPr>
          <w:ilvl w:val="0"/>
          <w:numId w:val="1016"/>
        </w:numPr>
        <w:pStyle w:val="Compact"/>
      </w:pPr>
      <w:r>
        <w:t xml:space="preserve">Material Acquisition Emissions for Recycled Portion: 10.85 kg CO2e * 0.80 = 8.68 kg CO2e (potential credit)</w:t>
      </w:r>
    </w:p>
    <w:p>
      <w:pPr>
        <w:numPr>
          <w:ilvl w:val="0"/>
          <w:numId w:val="1016"/>
        </w:numPr>
        <w:pStyle w:val="Compact"/>
      </w:pPr>
      <w:r>
        <w:t xml:space="preserve">Disposal Emissions for 20% (e.g., landfill/incineration, highly variable, assumed ~1 kg CO2e/kg for mixed waste for this model): 0.85 kg * 0.20 * 1.0 kgCO2e/kg = 0.17 kg CO2e</w:t>
      </w:r>
    </w:p>
    <w:p>
      <w:pPr>
        <w:pStyle w:val="FirstParagraph"/>
      </w:pPr>
      <w:r>
        <w:rPr>
          <w:iCs/>
          <w:i/>
        </w:rPr>
        <w:t xml:space="preserve">Assumption for recycling credit:</w:t>
      </w:r>
      <w:r>
        <w:t xml:space="preserve"> </w:t>
      </w:r>
      <w:r>
        <w:t xml:space="preserve">A conservative approach is to apply a credit for the avoided primary production, which is often complex to quantify precisely without detailed EoL scenarios. For a high recyclability rate and take-back program, a significant portion of the material impact can be offset. We will apply a credit equal to 80% of the material acquisition emissions.</w:t>
      </w:r>
    </w:p>
    <w:p>
      <w:pPr>
        <w:pStyle w:val="BodyText"/>
      </w:pPr>
      <w:r>
        <w:rPr>
          <w:iCs/>
          <w:i/>
        </w:rPr>
        <w:t xml:space="preserve">Calculation for EoL Net Emissions:</w:t>
      </w:r>
    </w:p>
    <w:p>
      <w:pPr>
        <w:numPr>
          <w:ilvl w:val="0"/>
          <w:numId w:val="1017"/>
        </w:numPr>
        <w:pStyle w:val="Compact"/>
      </w:pPr>
      <w:r>
        <w:t xml:space="preserve">Disposal Emissions: 0.17 kg CO2e</w:t>
      </w:r>
    </w:p>
    <w:p>
      <w:pPr>
        <w:numPr>
          <w:ilvl w:val="0"/>
          <w:numId w:val="1017"/>
        </w:numPr>
        <w:pStyle w:val="Compact"/>
      </w:pPr>
      <w:r>
        <w:t xml:space="preserve">Recycling Credit: -8.68 kg CO2e (80% of material acquisition emissions are offset by recycling)</w:t>
      </w:r>
    </w:p>
    <w:p>
      <w:pPr>
        <w:numPr>
          <w:ilvl w:val="0"/>
          <w:numId w:val="1017"/>
        </w:numPr>
        <w:pStyle w:val="Compact"/>
      </w:pPr>
      <w:r>
        <w:t xml:space="preserve">Net End-of-Life Emissions: 0.17 kg CO2e - 8.68 kg CO2e = -8.51 kg CO2e/unit</w:t>
      </w:r>
    </w:p>
    <w:p>
      <w:pPr>
        <w:pStyle w:val="FirstParagraph"/>
      </w:pPr>
      <w:r>
        <w:rPr>
          <w:bCs/>
          <w:b/>
        </w:rPr>
        <w:t xml:space="preserve">Total End-of-Life Net Emissions: -8.51 kg CO2e/unit</w:t>
      </w:r>
      <w:r>
        <w:t xml:space="preserve"> </w:t>
      </w:r>
      <w:r>
        <w:t xml:space="preserve">(This negative value indicates a net carbon benefit due to high recyclability and circular programs, assuming displacement of virgin material.)</w:t>
      </w:r>
    </w:p>
    <w:bookmarkEnd w:id="46"/>
    <w:bookmarkStart w:id="47"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 - Category 1)</w:t>
            </w:r>
          </w:p>
        </w:tc>
        <w:tc>
          <w:tcPr/>
          <w:p>
            <w:pPr>
              <w:pStyle w:val="Compact"/>
              <w:jc w:val="left"/>
            </w:pPr>
            <w:r>
              <w:t xml:space="preserve">10.85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Transport &amp; Distribution (Upstream)</w:t>
            </w:r>
          </w:p>
        </w:tc>
        <w:tc>
          <w:tcPr/>
          <w:p>
            <w:pPr>
              <w:pStyle w:val="Compact"/>
              <w:jc w:val="left"/>
            </w:pPr>
            <w:r>
              <w:t xml:space="preserve">Scope 3 (Upstream - Category 4)</w:t>
            </w:r>
          </w:p>
        </w:tc>
        <w:tc>
          <w:tcPr/>
          <w:p>
            <w:pPr>
              <w:pStyle w:val="Compact"/>
              <w:jc w:val="left"/>
            </w:pPr>
            <w:r>
              <w:t xml:space="preserve">0.05</w:t>
            </w:r>
          </w:p>
        </w:tc>
      </w:tr>
      <w:tr>
        <w:tc>
          <w:tcPr/>
          <w:p>
            <w:pPr>
              <w:pStyle w:val="Compact"/>
              <w:jc w:val="left"/>
            </w:pPr>
            <w:r>
              <w:t xml:space="preserve">Transport &amp; Distribution (Downstream)</w:t>
            </w:r>
          </w:p>
        </w:tc>
        <w:tc>
          <w:tcPr/>
          <w:p>
            <w:pPr>
              <w:pStyle w:val="Compact"/>
              <w:jc w:val="left"/>
            </w:pPr>
            <w:r>
              <w:t xml:space="preserve">Scope 3 (Downstream - Category 9)</w:t>
            </w:r>
          </w:p>
        </w:tc>
        <w:tc>
          <w:tcPr/>
          <w:p>
            <w:pPr>
              <w:pStyle w:val="Compact"/>
              <w:jc w:val="left"/>
            </w:pPr>
            <w:r>
              <w:t xml:space="preserve">0.69</w:t>
            </w:r>
          </w:p>
        </w:tc>
      </w:tr>
      <w:tr>
        <w:tc>
          <w:tcPr/>
          <w:p>
            <w:pPr>
              <w:pStyle w:val="Compact"/>
              <w:jc w:val="left"/>
            </w:pPr>
            <w:r>
              <w:t xml:space="preserve">Use Phase</w:t>
            </w:r>
          </w:p>
        </w:tc>
        <w:tc>
          <w:tcPr/>
          <w:p>
            <w:pPr>
              <w:pStyle w:val="Compact"/>
              <w:jc w:val="left"/>
            </w:pPr>
            <w:r>
              <w:t xml:space="preserve">Scope 3 (Downstream - Category 11)</w:t>
            </w:r>
          </w:p>
        </w:tc>
        <w:tc>
          <w:tcPr/>
          <w:p>
            <w:pPr>
              <w:pStyle w:val="Compact"/>
              <w:jc w:val="left"/>
            </w:pPr>
            <w:r>
              <w:t xml:space="preserve">31.03</w:t>
            </w:r>
          </w:p>
        </w:tc>
      </w:tr>
      <w:tr>
        <w:tc>
          <w:tcPr/>
          <w:p>
            <w:pPr>
              <w:pStyle w:val="Compact"/>
              <w:jc w:val="left"/>
            </w:pPr>
            <w:r>
              <w:t xml:space="preserve">End-of-Life (Net)</w:t>
            </w:r>
          </w:p>
        </w:tc>
        <w:tc>
          <w:tcPr/>
          <w:p>
            <w:pPr>
              <w:pStyle w:val="Compact"/>
              <w:jc w:val="left"/>
            </w:pPr>
            <w:r>
              <w:t xml:space="preserve">Scope 3 (Downstream - Category 12)</w:t>
            </w:r>
          </w:p>
        </w:tc>
        <w:tc>
          <w:tcPr/>
          <w:p>
            <w:pPr>
              <w:pStyle w:val="Compact"/>
              <w:jc w:val="left"/>
            </w:pPr>
            <w:r>
              <w:t xml:space="preserve">-8.51</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34.89 kg CO2e/unit</w:t>
            </w:r>
          </w:p>
        </w:tc>
      </w:tr>
    </w:tbl>
    <w:bookmarkEnd w:id="47"/>
    <w:bookmarkEnd w:id="48"/>
    <w:p>
      <w:r>
        <w:pict>
          <v:rect style="width:0;height:1.5pt" o:hralign="center" o:hrstd="t" o:hr="t"/>
        </w:pict>
      </w:r>
    </w:p>
    <w:bookmarkStart w:id="52"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The analysis reveals the following key emission hotspots for rjqpjzrnjd:</w:t>
      </w:r>
    </w:p>
    <w:p>
      <w:pPr>
        <w:numPr>
          <w:ilvl w:val="0"/>
          <w:numId w:val="1018"/>
        </w:numPr>
        <w:pStyle w:val="Compact"/>
      </w:pPr>
      <w:r>
        <w:rPr>
          <w:bCs/>
          <w:b/>
        </w:rPr>
        <w:t xml:space="preserve">Use Phase (31.03 kg CO2e):</w:t>
      </w:r>
      <w:r>
        <w:t xml:space="preserve"> </w:t>
      </w:r>
      <w:r>
        <w:t xml:space="preserve">This is by far the largest contributor to the product\'s carbon footprint, accounting for approximately 89% of the total emissions. This is primarily driven by the product\'s energy consumption over its 5-year lifespan and the assumed electricity grid mix during its use.</w:t>
      </w:r>
    </w:p>
    <w:p>
      <w:pPr>
        <w:numPr>
          <w:ilvl w:val="0"/>
          <w:numId w:val="1018"/>
        </w:numPr>
        <w:pStyle w:val="Compact"/>
      </w:pPr>
      <w:r>
        <w:rPr>
          <w:bCs/>
          <w:b/>
        </w:rPr>
        <w:t xml:space="preserve">Material Acquisition (10.85 kg CO2e):</w:t>
      </w:r>
      <w:r>
        <w:t xml:space="preserve"> </w:t>
      </w:r>
      <w:r>
        <w:t xml:space="preserve">This stage represents the second-largest hotspot, driven by the carbon intensity of materials such as Aluminum (7.50 kg CO2e) and Printed Circuit Boards (2.50 kg CO2e).</w:t>
      </w:r>
    </w:p>
    <w:p>
      <w:pPr>
        <w:numPr>
          <w:ilvl w:val="0"/>
          <w:numId w:val="1018"/>
        </w:numPr>
        <w:pStyle w:val="Compact"/>
      </w:pPr>
      <w:r>
        <w:rPr>
          <w:bCs/>
          <w:b/>
        </w:rPr>
        <w:t xml:space="preserve">Transport &amp; Distribution (0.74 kg CO2e):</w:t>
      </w:r>
      <w:r>
        <w:t xml:space="preserve"> </w:t>
      </w:r>
      <w:r>
        <w:t xml:space="preserve">While significant, these emissions are relatively smaller than the use phase and material acquisition. Last-mile delivery accounts for a substantial portion of transport emissions.</w:t>
      </w:r>
    </w:p>
    <w:p>
      <w:pPr>
        <w:numPr>
          <w:ilvl w:val="0"/>
          <w:numId w:val="1018"/>
        </w:numPr>
        <w:pStyle w:val="Compact"/>
      </w:pPr>
      <w:r>
        <w:rPr>
          <w:bCs/>
          <w:b/>
        </w:rPr>
        <w:t xml:space="preserve">Manufacturing (0.78 kg CO2e):</w:t>
      </w:r>
      <w:r>
        <w:t xml:space="preserve"> </w:t>
      </w:r>
      <w:r>
        <w:t xml:space="preserve">Emissions from purchased electricity during the manufacturing process are a smaller contributor, partly mitigated by the assumed 50% renewable energy usage.</w:t>
      </w:r>
    </w:p>
    <w:p>
      <w:pPr>
        <w:numPr>
          <w:ilvl w:val="0"/>
          <w:numId w:val="1018"/>
        </w:numPr>
        <w:pStyle w:val="Compact"/>
      </w:pPr>
      <w:r>
        <w:rPr>
          <w:bCs/>
          <w:b/>
        </w:rPr>
        <w:t xml:space="preserve">End-of-Life (-8.51 kg CO2e):</w:t>
      </w:r>
      <w:r>
        <w:t xml:space="preserve"> </w:t>
      </w:r>
      <w:r>
        <w:t xml:space="preserve">The strong recyclability (80%) and circular programs lead to a net carbon benefit in the end-of-life stage, effectively offsetting a portion of the upstream emissions. This highlights the positive impact of circular economy initiatives.</w:t>
      </w:r>
    </w:p>
    <w:bookmarkEnd w:id="49"/>
    <w:bookmarkStart w:id="50" w:name="reliability-and-data-quality"/>
    <w:p>
      <w:pPr>
        <w:pStyle w:val="Heading3"/>
      </w:pPr>
      <w:r>
        <w:t xml:space="preserve">5.2 Reliability and Data Quality</w:t>
      </w:r>
    </w:p>
    <w:p>
      <w:pPr>
        <w:pStyle w:val="FirstParagraph"/>
      </w:pPr>
      <w:r>
        <w:t xml:space="preserve">The reliability of this PCF analysis is based on a combination of primary data from the provided parameters and secondary industry-average emission factors.</w:t>
      </w:r>
    </w:p>
    <w:p>
      <w:pPr>
        <w:numPr>
          <w:ilvl w:val="0"/>
          <w:numId w:val="1019"/>
        </w:numPr>
        <w:pStyle w:val="Compact"/>
      </w:pPr>
      <w:r>
        <w:rPr>
          <w:bCs/>
          <w:b/>
        </w:rPr>
        <w:t xml:space="preserve">Primary Data:</w:t>
      </w:r>
      <w:r>
        <w:t xml:space="preserve"> </w:t>
      </w:r>
      <w:r>
        <w:t xml:space="preserve">The Detailed Bill of Materials (BOM), energy usage, lifespan, and EoL parameters are specific to njyemjgimf, contributing to high accuracy in these areas.</w:t>
      </w:r>
    </w:p>
    <w:p>
      <w:pPr>
        <w:numPr>
          <w:ilvl w:val="0"/>
          <w:numId w:val="1019"/>
        </w:numPr>
        <w:pStyle w:val="Compact"/>
      </w:pPr>
      <w:r>
        <w:rPr>
          <w:bCs/>
          <w:b/>
        </w:rPr>
        <w:t xml:space="preserve">Secondary Data:</w:t>
      </w:r>
      <w:r>
        <w:t xml:space="preserve"> </w:t>
      </w:r>
      <w:r>
        <w:t xml:space="preserve">Emission factors for electricity, transport, and general material processes are sourced from reputable databases (e.g., China\'s Ministry of Ecology and Environment, DEFRA-equivalent for transport, and general industry data for materials), ensuring a robust baseline. However, industry averages may not precisely reflect specific supplier or regional variations.</w:t>
      </w:r>
    </w:p>
    <w:p>
      <w:pPr>
        <w:numPr>
          <w:ilvl w:val="0"/>
          <w:numId w:val="1019"/>
        </w:numPr>
        <w:pStyle w:val="Compact"/>
      </w:pPr>
      <w:r>
        <w:rPr>
          <w:bCs/>
          <w:b/>
        </w:rPr>
        <w:t xml:space="preserve">Scope 3 Coverage:</w:t>
      </w:r>
      <w:r>
        <w:t xml:space="preserve"> </w:t>
      </w:r>
      <w:r>
        <w:t xml:space="preserve">This report aims for comprehensive Scope 3 coverage, as required by the proposed 2026 GHG Protocol updates. By including upstream material, manufacturing, and transport, along with downstream use and end-of-life, a broad understanding of the product\'s value chain emissions is achieved.</w:t>
      </w:r>
    </w:p>
    <w:p>
      <w:pPr>
        <w:numPr>
          <w:ilvl w:val="0"/>
          <w:numId w:val="1019"/>
        </w:numPr>
        <w:pStyle w:val="Compact"/>
      </w:pPr>
      <w:r>
        <w:rPr>
          <w:bCs/>
          <w:b/>
        </w:rPr>
        <w:t xml:space="preserve">Assumptions:</w:t>
      </w:r>
      <w:r>
        <w:t xml:space="preserve"> </w:t>
      </w:r>
      <w:r>
        <w:t xml:space="preserve">Assumptions made for placeholder parameters (e.g., specific transport modes and distances, use phase grid mix, last-mile attribution) introduce a degree of uncertainty. Future analyses would benefit from more granular primary data for these aspects.</w:t>
      </w:r>
    </w:p>
    <w:bookmarkEnd w:id="50"/>
    <w:bookmarkStart w:id="51" w:name="recommendations-for-emission-reduction"/>
    <w:p>
      <w:pPr>
        <w:pStyle w:val="Heading3"/>
      </w:pPr>
      <w:r>
        <w:t xml:space="preserve">5.3 Recommendations for Emission Reduction</w:t>
      </w:r>
    </w:p>
    <w:p>
      <w:pPr>
        <w:pStyle w:val="FirstParagraph"/>
      </w:pPr>
      <w:r>
        <w:t xml:space="preserve">Based on the identified hotspots, njyemjgimf should focus on the following to reduce the carbon footprint of rjqpjzrnjd:</w:t>
      </w:r>
    </w:p>
    <w:p>
      <w:pPr>
        <w:numPr>
          <w:ilvl w:val="0"/>
          <w:numId w:val="1020"/>
        </w:numPr>
        <w:pStyle w:val="Compact"/>
      </w:pPr>
      <w:r>
        <w:rPr>
          <w:bCs/>
          <w:b/>
        </w:rPr>
        <w:t xml:space="preserve">Reduce Use Phase Energy Consumption:</w:t>
      </w:r>
      <w:r>
        <w:t xml:space="preserve"> </w:t>
      </w:r>
      <w:r>
        <w:t xml:space="preserve">Invest in energy-efficient design and technologies to lower the product\'s electricity consumption during its lifespan.</w:t>
      </w:r>
    </w:p>
    <w:p>
      <w:pPr>
        <w:numPr>
          <w:ilvl w:val="0"/>
          <w:numId w:val="1020"/>
        </w:numPr>
        <w:pStyle w:val="Compact"/>
      </w:pPr>
      <w:r>
        <w:rPr>
          <w:bCs/>
          <w:b/>
        </w:rPr>
        <w:t xml:space="preserve">Promote Renewable Energy Adoption by Users:</w:t>
      </w:r>
      <w:r>
        <w:t xml:space="preserve"> </w:t>
      </w:r>
      <w:r>
        <w:t xml:space="preserve">Explore opportunities to encourage or enable end-users to power the product with renewable energy.</w:t>
      </w:r>
    </w:p>
    <w:p>
      <w:pPr>
        <w:numPr>
          <w:ilvl w:val="0"/>
          <w:numId w:val="1020"/>
        </w:numPr>
        <w:pStyle w:val="Compact"/>
      </w:pPr>
      <w:r>
        <w:rPr>
          <w:bCs/>
          <w:b/>
        </w:rPr>
        <w:t xml:space="preserve">Source Low-Carbon Materials:</w:t>
      </w:r>
      <w:r>
        <w:t xml:space="preserve"> </w:t>
      </w:r>
      <w:r>
        <w:t xml:space="preserve">Engage with suppliers to procure materials with lower embodied carbon, especially for high-impact components like Aluminum and PCBs. This could involve increasing recycled content in materials where possible.</w:t>
      </w:r>
    </w:p>
    <w:p>
      <w:pPr>
        <w:numPr>
          <w:ilvl w:val="0"/>
          <w:numId w:val="1020"/>
        </w:numPr>
        <w:pStyle w:val="Compact"/>
      </w:pPr>
      <w:r>
        <w:rPr>
          <w:bCs/>
          <w:b/>
        </w:rPr>
        <w:t xml:space="preserve">Optimize Logistics:</w:t>
      </w:r>
      <w:r>
        <w:t xml:space="preserve"> </w:t>
      </w:r>
      <w:r>
        <w:t xml:space="preserve">Continuously evaluate and optimize transportation routes and modes to reduce emissions, particularly for high-volume upstream and last-mile downstream movements. Consolidating shipments and exploring lower-emission transport options can be beneficial.</w:t>
      </w:r>
    </w:p>
    <w:p>
      <w:pPr>
        <w:numPr>
          <w:ilvl w:val="0"/>
          <w:numId w:val="1020"/>
        </w:numPr>
        <w:pStyle w:val="Compact"/>
      </w:pPr>
      <w:r>
        <w:rPr>
          <w:bCs/>
          <w:b/>
        </w:rPr>
        <w:t xml:space="preserve">Enhance Circularity:</w:t>
      </w:r>
      <w:r>
        <w:t xml:space="preserve"> </w:t>
      </w:r>
      <w:r>
        <w:t xml:space="preserve">Continue to invest in and expand circular/take-back programs, as they provide significant carbon benefits by extending material lifecycles and reducing demand for virgin materials.</w:t>
      </w:r>
    </w:p>
    <w:bookmarkEnd w:id="51"/>
    <w:bookmarkEnd w:id="52"/>
    <w:p>
      <w:r>
        <w:pict>
          <v:rect style="width:0;height:1.5pt" o:hralign="center" o:hrstd="t" o:hr="t"/>
        </w:pict>
      </w:r>
    </w:p>
    <w:p>
      <w:pPr>
        <w:pStyle w:val="FirstParagraph"/>
      </w:pPr>
      <w:r>
        <w:t xml:space="preserve">Confidential - Internal Use Only | Page</w:t>
      </w:r>
      <w:r>
        <w:t xml:space="preserve"> </w:t>
      </w:r>
      <w:bookmarkStart w:id="53" w:name="page-number"/>
      <w:bookmarkEnd w:id="5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rjqpjzrnjd</dc:title>
  <dc:creator/>
  <dc:description>Detailed Product Carbon Footprint (PCF) analysis for rjqpjzrnjd, adhering to GHG Protocol standards and 2026 updates, conducted by Senior Sustainability Consultant wjtdhqzwqu for njyemjgimf.</dc:description>
  <dc:language>en</dc:language>
  <cp:keywords/>
  <dcterms:created xsi:type="dcterms:W3CDTF">2026-05-30T19:26:41Z</dcterms:created>
  <dcterms:modified xsi:type="dcterms:W3CDTF">2026-05-30T19:26:41Z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