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rjnuyulwqz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rjnuyulwqz</w:t>
      </w:r>
    </w:p>
    <w:p>
      <w:pPr>
        <w:pStyle w:val="BodyText"/>
      </w:pPr>
      <w:r>
        <w:rPr>
          <w:bCs/>
          <w:b/>
        </w:rPr>
        <w:t xml:space="preserve">Company Name:</w:t>
      </w:r>
      <w:r>
        <w:t xml:space="preserve"> </w:t>
      </w:r>
      <w:r>
        <w:t xml:space="preserve">fklksmuyjy</w:t>
      </w:r>
    </w:p>
    <w:p>
      <w:pPr>
        <w:pStyle w:val="BodyText"/>
      </w:pPr>
      <w:r>
        <w:rPr>
          <w:bCs/>
          <w:b/>
        </w:rPr>
        <w:t xml:space="preserve">Senior Sustainability Consultant:</w:t>
      </w:r>
      <w:r>
        <w:t xml:space="preserve"> </w:t>
      </w:r>
      <w:r>
        <w:t xml:space="preserve">ygjjtyjnhd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employing specific placeholder values for illustrative calculations where actual data for provided parameters was not available (e.g., for \'opxqkttw\', \'Select Mode\', \'ksrqmiyyme\', etc.).</w:t>
      </w:r>
    </w:p>
    <w:bookmarkEnd w:id="20"/>
    <w:bookmarkStart w:id="48" w:name="Xa108232703df7dd4920b0b8d327007d29e99910"/>
    <w:p>
      <w:pPr>
        <w:pStyle w:val="Heading1"/>
      </w:pPr>
      <w:r>
        <w:t xml:space="preserve">Product Carbon Footprint Analysis Report: rjnuyulwqz</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ygjjtyjnhd</w:t>
      </w:r>
    </w:p>
    <w:p>
      <w:pPr>
        <w:pStyle w:val="BodyText"/>
      </w:pPr>
      <w:r>
        <w:rPr>
          <w:bCs/>
          <w:b/>
        </w:rPr>
        <w:t xml:space="preserve">Company:</w:t>
      </w:r>
      <w:r>
        <w:t xml:space="preserve"> </w:t>
      </w:r>
      <w:r>
        <w:t xml:space="preserve">fklksmuyjy</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"rjnuyulwqz," manufactured by "fklksmuyjy." The analysis adheres to the Greenhouse Gas (GHG) Protocol standards, including the 2026 Land Sector and Removals (LSR) update, with a strong focus on comprehensive Scope 3 emissions reporting. The primary objective is to quantify the total greenhouse gas emissions associated with the product\'s lifecycle, from raw material extraction to end-of-life, expressed in carbon dioxide equivalents (CO2e). This assessment aims to identify key emission hotspots and provide a foundation for developing targeted emission reduction strategies.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rjnuyulwqz follows a rigorous five-step methodology aligned with the GHG Protocol. This approach ensures consistency, transparency, and accuracy in emission quantification.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rjnuyulwqz</w:t>
      </w:r>
      <w:r>
        <w:t xml:space="preserve">. All emissions are calculated and presented relative to this functional unit.</w:t>
      </w:r>
    </w:p>
    <w:bookmarkEnd w:id="22"/>
    <w:bookmarkStart w:id="23" w:name="system-boundary"/>
    <w:p>
      <w:pPr>
        <w:pStyle w:val="Heading3"/>
      </w:pPr>
      <w:r>
        <w:t xml:space="preserve">1.2. System Boundary</w:t>
      </w:r>
    </w:p>
    <w:p>
      <w:pPr>
        <w:pStyle w:val="FirstParagraph"/>
      </w:pPr>
      <w:r>
        <w:t xml:space="preserve">The system boundary for this analysis is designated as</w:t>
      </w:r>
      <w:r>
        <w:t xml:space="preserve"> </w:t>
      </w:r>
      <w:r>
        <w:rPr>
          <w:bCs/>
          <w:b/>
        </w:rPr>
        <w:t xml:space="preserve">factory_gate</w:t>
      </w:r>
      <w:r>
        <w:t xml:space="preserve">. This encompasses all processes from raw material acquisition and processing (cradle) up to the point where the finished product leaves the manufacturing facility (gate). Additionally, the analysis extends to include downstream activities such as transportation to the customer, the product\'s use phase, and its end-of-life treatment, effectively covering a "cradle-to-grave" perspective for a comprehensive PCF as per GHG Protocol Scope 3 requirements.</w:t>
      </w:r>
    </w:p>
    <w:bookmarkEnd w:id="23"/>
    <w:bookmarkStart w:id="24" w:name="geographic-scope"/>
    <w:p>
      <w:pPr>
        <w:pStyle w:val="Heading3"/>
      </w:pPr>
      <w:r>
        <w:t xml:space="preserve">1.3. Geographic Scope</w:t>
      </w:r>
    </w:p>
    <w:p>
      <w:pPr>
        <w:pStyle w:val="FirstParagraph"/>
      </w:pPr>
      <w:r>
        <w:t xml:space="preserve">The geographic scope for the final production of rjnuyulwqz is</w:t>
      </w:r>
      <w:r>
        <w:t xml:space="preserve"> </w:t>
      </w:r>
      <w:r>
        <w:rPr>
          <w:bCs/>
          <w:b/>
        </w:rPr>
        <w:t xml:space="preserve">China</w:t>
      </w:r>
      <w:r>
        <w:t xml:space="preserve">. The supply chain focus is concentrated on</w:t>
      </w:r>
      <w:r>
        <w:t xml:space="preserve"> </w:t>
      </w:r>
      <w:r>
        <w:rPr>
          <w:bCs/>
          <w:b/>
        </w:rPr>
        <w:t xml:space="preserve">Europe Focused</w:t>
      </w:r>
      <w:r>
        <w:t xml:space="preserve">, implying that upstream activities and raw material sourcing may have a strong European component, while final assembly and manufacturing occur in China. The use phase and end-of-life scenarios are considered globally representative, with specific emission factors applied based on typical regions of product consumption (e.g., Europe for use phase energy).</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the most widely used international accounting tool for quantifying greenhouse gas emissions. Emissions are categorized into Scope 1, Scope 2, and Scope 3 as defined by the GHG Protocol. Special attention is given to the</w:t>
      </w:r>
      <w:r>
        <w:t xml:space="preserve"> </w:t>
      </w:r>
      <w:r>
        <w:rPr>
          <w:bCs/>
          <w:b/>
        </w:rPr>
        <w:t xml:space="preserve">2026 Land Sector and Removals (LSR) Standard update</w:t>
      </w:r>
      <w:r>
        <w:t xml:space="preserve"> </w:t>
      </w:r>
      <w:r>
        <w:t xml:space="preserve">for land-use and carbon removals, and ensuring</w:t>
      </w:r>
      <w:r>
        <w:t xml:space="preserve"> </w:t>
      </w:r>
      <w:r>
        <w:rPr>
          <w:bCs/>
          <w:b/>
        </w:rPr>
        <w:t xml:space="preserve">at least 95% coverage for Scope 3 reporting</w:t>
      </w:r>
      <w:r>
        <w:t xml:space="preserve">, as per 2026 requirements.</w:t>
      </w:r>
    </w:p>
    <w:p>
      <w:pPr>
        <w:pStyle w:val="BodyText"/>
      </w:pPr>
      <w:r>
        <w:t xml:space="preserve">The GHG Protocol\'s Land Sector and Removals (LSR) Standard, released in January 2026 and effective January 1, 2027, provides requirements for accounting for land sector emissions (e.g., land use change, land management, biogenic products) and CO2 removals. While specific guidance on its full implementation is expected in Q2 2026, this report acknowledges its principles. For a manufactured product like rjnuyulwqz, significant land sector emissions would primarily fall under Scope 3, Category 1 (Purchased Goods and Services), particularly if raw materials are derived from biological sources with associated land use changes. This analysis integrates these considerations where applicable and relies on robust emission factors for material production.</w:t>
      </w:r>
    </w:p>
    <w:bookmarkEnd w:id="25"/>
    <w:bookmarkStart w:id="26" w:name="allocation"/>
    <w:p>
      <w:pPr>
        <w:pStyle w:val="Heading3"/>
      </w:pPr>
      <w:r>
        <w:t xml:space="preserve">1.5. Allocation</w:t>
      </w:r>
    </w:p>
    <w:p>
      <w:pPr>
        <w:pStyle w:val="FirstParagraph"/>
      </w:pPr>
      <w:r>
        <w:t xml:space="preserve">For multi-output processes, emissions are allocated to rjnuyulwqz using a mass-based approach, where applicable, to ensure proportional distribution of environmental burden. Where specific co-product data is unavailable, economic allocation or system expansion (avoided burden approach) is considered in the end-of-life phase for recycled materials.</w:t>
      </w:r>
    </w:p>
    <w:p>
      <w:r>
        <w:pict>
          <v:rect style="width:0;height:1.5pt" o:hralign="center" o:hrstd="t" o:hr="t"/>
        </w:pict>
      </w:r>
    </w:p>
    <w:bookmarkEnd w:id="26"/>
    <w:bookmarkEnd w:id="27"/>
    <w:bookmarkStart w:id="28" w:name="lifecycle-mapping-lci-inventory-stages"/>
    <w:p>
      <w:pPr>
        <w:pStyle w:val="Heading2"/>
      </w:pPr>
      <w:r>
        <w:t xml:space="preserve">2. Lifecycle Mapping (LCI Inventory Stages)</w:t>
      </w:r>
    </w:p>
    <w:p>
      <w:pPr>
        <w:pStyle w:val="FirstParagraph"/>
      </w:pPr>
      <w:r>
        <w:t xml:space="preserve">The lifecycle of rjnuyulwqz is mapped across the following stages, providing a framework for inventory data collection and emission calculation:</w:t>
      </w:r>
    </w:p>
    <w:p>
      <w:pPr>
        <w:numPr>
          <w:ilvl w:val="0"/>
          <w:numId w:val="1001"/>
        </w:numPr>
        <w:pStyle w:val="Compact"/>
      </w:pPr>
      <w:r>
        <w:rPr>
          <w:bCs/>
          <w:b/>
        </w:rPr>
        <w:t xml:space="preserve">Raw Material Acquisition &amp; Pre-processing (Upstream - Scope 3, Category 1):</w:t>
      </w:r>
      <w:r>
        <w:t xml:space="preserve"> </w:t>
      </w:r>
      <w:r>
        <w:t xml:space="preserve">Extraction, cultivation, and initial processing of all raw materials and components, including their inherent carbon footprint.</w:t>
      </w:r>
    </w:p>
    <w:p>
      <w:pPr>
        <w:numPr>
          <w:ilvl w:val="0"/>
          <w:numId w:val="1001"/>
        </w:numPr>
        <w:pStyle w:val="Compact"/>
      </w:pPr>
      <w:r>
        <w:rPr>
          <w:bCs/>
          <w:b/>
        </w:rPr>
        <w:t xml:space="preserve">Manufacturing (Core - Scope 1, 2, 3):</w:t>
      </w:r>
      <w:r>
        <w:t xml:space="preserve"> </w:t>
      </w:r>
      <w:r>
        <w:t xml:space="preserve">All processes involved in transforming raw materials into the final product at the "fklksmuyjy" facility in China, including energy consumption, direct emissions, and waste generation.</w:t>
      </w:r>
    </w:p>
    <w:p>
      <w:pPr>
        <w:numPr>
          <w:ilvl w:val="0"/>
          <w:numId w:val="1001"/>
        </w:numPr>
        <w:pStyle w:val="Compact"/>
      </w:pPr>
      <w:r>
        <w:rPr>
          <w:bCs/>
          <w:b/>
        </w:rPr>
        <w:t xml:space="preserve">Transportation (Upstream &amp; Downstream - Scope 3, Categories 4 &amp; 9):</w:t>
      </w:r>
      <w:r>
        <w:t xml:space="preserve"> </w:t>
      </w:r>
      <w:r>
        <w:t xml:space="preserve">Logistics associated with transporting raw materials to the manufacturing site (upstream) and the finished product to the distribution centers and end-users (downstream, including last-mile delivery).</w:t>
      </w:r>
    </w:p>
    <w:p>
      <w:pPr>
        <w:numPr>
          <w:ilvl w:val="0"/>
          <w:numId w:val="1001"/>
        </w:numPr>
        <w:pStyle w:val="Compact"/>
      </w:pPr>
      <w:r>
        <w:rPr>
          <w:bCs/>
          <w:b/>
        </w:rPr>
        <w:t xml:space="preserve">Use Phase (Downstream - Scope 3, Category 11):</w:t>
      </w:r>
      <w:r>
        <w:t xml:space="preserve"> </w:t>
      </w:r>
      <w:r>
        <w:t xml:space="preserve">Energy consumption and other emissions occurring during the expected lifespan of the product by the end-user.</w:t>
      </w:r>
    </w:p>
    <w:p>
      <w:pPr>
        <w:numPr>
          <w:ilvl w:val="0"/>
          <w:numId w:val="1001"/>
        </w:numPr>
        <w:pStyle w:val="Compact"/>
      </w:pPr>
      <w:r>
        <w:rPr>
          <w:bCs/>
          <w:b/>
        </w:rPr>
        <w:t xml:space="preserve">End-of-Life (Downstream - Scope 3, Category 12):</w:t>
      </w:r>
      <w:r>
        <w:t xml:space="preserve"> </w:t>
      </w:r>
      <w:r>
        <w:t xml:space="preserve">Disposal or recycling processes at the end of the product\'s functional life, including emissions from landfills or incineration, and avoided emissions from recycling.</w:t>
      </w:r>
    </w:p>
    <w:p>
      <w:r>
        <w:pict>
          <v:rect style="width:0;height:1.5pt" o:hralign="center" o:hrstd="t" o:hr="t"/>
        </w:pict>
      </w:r>
    </w:p>
    <w:bookmarkEnd w:id="28"/>
    <w:bookmarkStart w:id="34" w:name="data-collection"/>
    <w:p>
      <w:pPr>
        <w:pStyle w:val="Heading2"/>
      </w:pPr>
      <w:r>
        <w:t xml:space="preserve">3. Data Collection</w:t>
      </w:r>
    </w:p>
    <w:p>
      <w:pPr>
        <w:pStyle w:val="FirstParagraph"/>
      </w:pPr>
      <w:r>
        <w:t xml:space="preserve">Primary and secondary data points were collected and utilized for the PCF analysis. Due to the placeholder nature of some input parameters, illustrative data aligned with industry averages and the specified format has been used for calculation demonstrations.</w:t>
      </w:r>
    </w:p>
    <w:bookmarkStart w:id="29" w:name="X6cf06fe1d91eb3fe69f4a00edf885bbad25f652"/>
    <w:p>
      <w:pPr>
        <w:pStyle w:val="Heading3"/>
      </w:pPr>
      <w:r>
        <w:t xml:space="preserve">3.1. Detailed Bill of Materials (BOM) - opxqkttw (Illustrative Data)</w:t>
      </w:r>
    </w:p>
    <w:p>
      <w:pPr>
        <w:pStyle w:val="FirstParagraph"/>
      </w:pPr>
      <w:r>
        <w:t xml:space="preserve">The provided placeholder \'opxqkttw\' for the Detailed Bill of Materials is treated as an illustrative dataset adhering to the specified format (ID, Description, Category, Process, Qty, Unit, Emission Factor, Total Carbon). The following hypothetical BOM demonstrates the type of data that would be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102</w:t>
            </w:r>
          </w:p>
        </w:tc>
        <w:tc>
          <w:tcPr/>
          <w:p>
            <w:pPr>
              <w:pStyle w:val="Compact"/>
              <w:jc w:val="left"/>
            </w:pPr>
            <w:r>
              <w:t xml:space="preserve">Recycled 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103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Lithium-ion Battery Pack</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bl>
    <w:p>
      <w:pPr>
        <w:pStyle w:val="BodyText"/>
      </w:pPr>
      <w:r>
        <w:rPr>
          <w:bCs/>
          <w:b/>
        </w:rPr>
        <w:t xml:space="preserve">Total Material Carbon Footprint (Illustrative):</w:t>
      </w:r>
      <w:r>
        <w:t xml:space="preserve"> </w:t>
      </w:r>
      <w:r>
        <w:t xml:space="preserve">17.5 + 3.0 + 15.0 + 6.0 + 0.8 =</w:t>
      </w:r>
      <w:r>
        <w:t xml:space="preserve"> </w:t>
      </w:r>
      <w:r>
        <w:rPr>
          <w:bCs/>
          <w:b/>
        </w:rPr>
        <w:t xml:space="preserve">42.3 kgCO2e</w:t>
      </w:r>
    </w:p>
    <w:p>
      <w:pPr>
        <w:pStyle w:val="BodyText"/>
      </w:pPr>
      <w:r>
        <w:rPr>
          <w:bCs/>
          <w:b/>
        </w:rPr>
        <w:t xml:space="preserve">Total Illustrative Product Weight:</w:t>
      </w:r>
      <w:r>
        <w:t xml:space="preserve"> </w:t>
      </w:r>
      <w:r>
        <w:t xml:space="preserve">2.5 + 1.5 + 1.0 + 0.5 + 0.2 =</w:t>
      </w:r>
      <w:r>
        <w:t xml:space="preserve"> </w:t>
      </w:r>
      <w:r>
        <w:rPr>
          <w:bCs/>
          <w:b/>
        </w:rPr>
        <w:t xml:space="preserve">5.7 kg</w:t>
      </w:r>
      <w:r>
        <w:t xml:space="preserve"> </w:t>
      </w:r>
      <w:r>
        <w:t xml:space="preserve">(Used for transport and EoL calculations).</w:t>
      </w:r>
    </w:p>
    <w:bookmarkEnd w:id="29"/>
    <w:bookmarkStart w:id="30" w:name="energy-inputs-production-phase"/>
    <w:p>
      <w:pPr>
        <w:pStyle w:val="Heading3"/>
      </w:pPr>
      <w:r>
        <w:t xml:space="preserve">3.2. Energy Inputs (Production Phase)</w:t>
      </w:r>
    </w:p>
    <w:p>
      <w:pPr>
        <w:numPr>
          <w:ilvl w:val="0"/>
          <w:numId w:val="1002"/>
        </w:numPr>
        <w:pStyle w:val="Compact"/>
      </w:pPr>
      <w:r>
        <w:rPr>
          <w:bCs/>
          <w:b/>
        </w:rPr>
        <w:t xml:space="preserve">Renewable Energy Usage (deugzflris):</w:t>
      </w:r>
      <w:r>
        <w:t xml:space="preserve"> </w:t>
      </w:r>
      <w:r>
        <w:t xml:space="preserve">50% (Illustrative value for placeholder \'deugzflris\')</w:t>
      </w:r>
    </w:p>
    <w:p>
      <w:pPr>
        <w:numPr>
          <w:ilvl w:val="0"/>
          <w:numId w:val="1002"/>
        </w:numPr>
        <w:pStyle w:val="Compact"/>
      </w:pPr>
      <w:r>
        <w:rPr>
          <w:bCs/>
          <w:b/>
        </w:rPr>
        <w:t xml:space="preserve">Energy Intensity (kWh/unit) (ppxqijduon):</w:t>
      </w:r>
      <w:r>
        <w:t xml:space="preserve"> </w:t>
      </w:r>
      <w:r>
        <w:t xml:space="preserve">20 kWh/unit (Illustrative value for placeholder \'ppxqijduon\')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China Grid Emission Factor:</w:t>
      </w:r>
      <w:r>
        <w:t xml:space="preserve"> </w:t>
      </w:r>
      <w:r>
        <w:t xml:space="preserve">Approximately 0.60 kg CO2e/kWh (average, considering various sources for 2021-2023 data)</w:t>
      </w:r>
    </w:p>
    <w:bookmarkEnd w:id="30"/>
    <w:bookmarkStart w:id="31" w:name="logistics-data"/>
    <w:p>
      <w:pPr>
        <w:pStyle w:val="Heading3"/>
      </w:pPr>
      <w:r>
        <w:t xml:space="preserve">3.3. Logistics Data</w:t>
      </w:r>
    </w:p>
    <w:p>
      <w:pPr>
        <w:numPr>
          <w:ilvl w:val="0"/>
          <w:numId w:val="1003"/>
        </w:numPr>
        <w:pStyle w:val="Compact"/>
      </w:pPr>
      <w:r>
        <w:rPr>
          <w:bCs/>
          <w:b/>
        </w:rPr>
        <w:t xml:space="preserve">Transport Mode (Select Mode):</w:t>
      </w:r>
      <w:r>
        <w:t xml:space="preserve"> </w:t>
      </w:r>
      <w:r>
        <w:t xml:space="preserve">Ocean Freight (Main Leg), Road Freight (Light Commercial Vehicle - Last Mile) (Illustrative values for \'Select Mode\')</w:t>
      </w:r>
    </w:p>
    <w:p>
      <w:pPr>
        <w:numPr>
          <w:ilvl w:val="0"/>
          <w:numId w:val="1003"/>
        </w:numPr>
        <w:pStyle w:val="Compact"/>
      </w:pPr>
      <w:r>
        <w:rPr>
          <w:bCs/>
          <w:b/>
        </w:rPr>
        <w:t xml:space="preserve">Transport Distance (ksrqmiyyme):</w:t>
      </w:r>
      <w:r>
        <w:t xml:space="preserve"> </w:t>
      </w:r>
      <w:r>
        <w:t xml:space="preserve">10,000 km (Ocean Freight), 500 km (Road Freight - Last Mile) (Illustrative values for \'ksrqmiyyme\')</w:t>
      </w:r>
    </w:p>
    <w:p>
      <w:pPr>
        <w:numPr>
          <w:ilvl w:val="0"/>
          <w:numId w:val="1003"/>
        </w:numPr>
        <w:pStyle w:val="Compact"/>
      </w:pPr>
      <w:r>
        <w:rPr>
          <w:bCs/>
          <w:b/>
        </w:rPr>
        <w:t xml:space="preserve">Last-Mile Delivery Channel (Delivery Type):</w:t>
      </w:r>
      <w:r>
        <w:t xml:space="preserve"> </w:t>
      </w:r>
      <w:r>
        <w:t xml:space="preserve">Road Freight (Light Commercial Vehicle) (Illustrative value for \'Delivery Type\')</w:t>
      </w:r>
    </w:p>
    <w:p>
      <w:pPr>
        <w:numPr>
          <w:ilvl w:val="0"/>
          <w:numId w:val="1003"/>
        </w:numPr>
        <w:pStyle w:val="Compact"/>
      </w:pPr>
      <w:r>
        <w:rPr>
          <w:bCs/>
          <w:b/>
        </w:rPr>
        <w:t xml:space="preserve">Ocean Freight Emission Factor:</w:t>
      </w:r>
      <w:r>
        <w:t xml:space="preserve"> </w:t>
      </w:r>
      <w:r>
        <w:t xml:space="preserve">0.016 kg CO2e/tonne-km</w:t>
      </w:r>
    </w:p>
    <w:p>
      <w:pPr>
        <w:numPr>
          <w:ilvl w:val="0"/>
          <w:numId w:val="1003"/>
        </w:numPr>
        <w:pStyle w:val="Compact"/>
      </w:pPr>
      <w:r>
        <w:rPr>
          <w:bCs/>
          <w:b/>
        </w:rPr>
        <w:t xml:space="preserve">Road Freight (LCV) Emission Factor:</w:t>
      </w:r>
      <w:r>
        <w:t xml:space="preserve"> </w:t>
      </w:r>
      <w:r>
        <w:t xml:space="preserve">0.20 kg CO2e/tonne-km (Illustrative, based on typical LCV factors)</w:t>
      </w:r>
    </w:p>
    <w:bookmarkEnd w:id="31"/>
    <w:bookmarkStart w:id="32" w:name="X1ba14a67a329254cce30ddbf9878601bb9c0fa0"/>
    <w:p>
      <w:pPr>
        <w:pStyle w:val="Heading3"/>
      </w:pPr>
      <w:r>
        <w:t xml:space="preserve">3.4. Use Phase Durability and Consumption Data</w:t>
      </w:r>
    </w:p>
    <w:p>
      <w:pPr>
        <w:numPr>
          <w:ilvl w:val="0"/>
          <w:numId w:val="1004"/>
        </w:numPr>
        <w:pStyle w:val="Compact"/>
      </w:pPr>
      <w:r>
        <w:rPr>
          <w:bCs/>
          <w:b/>
        </w:rPr>
        <w:t xml:space="preserve">Product Lifespan (tsffkdkwtj):</w:t>
      </w:r>
      <w:r>
        <w:t xml:space="preserve"> </w:t>
      </w:r>
      <w:r>
        <w:t xml:space="preserve">5 years (Illustrative value for placeholder \'tsffkdkwtj\')</w:t>
      </w:r>
    </w:p>
    <w:p>
      <w:pPr>
        <w:numPr>
          <w:ilvl w:val="0"/>
          <w:numId w:val="1004"/>
        </w:numPr>
        <w:pStyle w:val="Compact"/>
      </w:pPr>
      <w:r>
        <w:rPr>
          <w:bCs/>
          <w:b/>
        </w:rPr>
        <w:t xml:space="preserve">Energy Consumption in Use (kyuegzxhpn):</w:t>
      </w:r>
      <w:r>
        <w:t xml:space="preserve"> </w:t>
      </w:r>
      <w:r>
        <w:t xml:space="preserve">10 kWh/year (Illustrative value for placeholder \'kyuegzxhpn\')</w:t>
      </w:r>
    </w:p>
    <w:p>
      <w:pPr>
        <w:numPr>
          <w:ilvl w:val="0"/>
          <w:numId w:val="1004"/>
        </w:numPr>
        <w:pStyle w:val="Compact"/>
      </w:pPr>
      <w:r>
        <w:rPr>
          <w:bCs/>
          <w:b/>
        </w:rPr>
        <w:t xml:space="preserve">Typical Use Phase Electricity Grid Emission Factor (Europe):</w:t>
      </w:r>
      <w:r>
        <w:t xml:space="preserve"> </w:t>
      </w:r>
      <w:r>
        <w:t xml:space="preserve">0.28 kg CO2e/kWh (Illustrative EU average)</w:t>
      </w:r>
    </w:p>
    <w:bookmarkEnd w:id="32"/>
    <w:bookmarkStart w:id="33" w:name="end-of-life-eol-scenarios"/>
    <w:p>
      <w:pPr>
        <w:pStyle w:val="Heading3"/>
      </w:pPr>
      <w:r>
        <w:t xml:space="preserve">3.5. End-of-Life (EoL) Scenarios</w:t>
      </w:r>
    </w:p>
    <w:p>
      <w:pPr>
        <w:numPr>
          <w:ilvl w:val="0"/>
          <w:numId w:val="1005"/>
        </w:numPr>
        <w:pStyle w:val="Compact"/>
      </w:pPr>
      <w:r>
        <w:rPr>
          <w:bCs/>
          <w:b/>
        </w:rPr>
        <w:t xml:space="preserve">Recyclability Percentage (riphprrddj):</w:t>
      </w:r>
      <w:r>
        <w:t xml:space="preserve"> </w:t>
      </w:r>
      <w:r>
        <w:t xml:space="preserve">70% (Illustrative value for placeholder \'riphprrddj\')</w:t>
      </w:r>
    </w:p>
    <w:p>
      <w:pPr>
        <w:numPr>
          <w:ilvl w:val="0"/>
          <w:numId w:val="1005"/>
        </w:numPr>
        <w:pStyle w:val="Compact"/>
      </w:pPr>
      <w:r>
        <w:rPr>
          <w:bCs/>
          <w:b/>
        </w:rPr>
        <w:t xml:space="preserve">Circular/Take-back Programs (khysfoites):</w:t>
      </w:r>
      <w:r>
        <w:t xml:space="preserve"> </w:t>
      </w:r>
      <w:r>
        <w:t xml:space="preserve">Yes, operational in Europe (Illustrative value for placeholder \'khysfoites\')</w:t>
      </w:r>
    </w:p>
    <w:p>
      <w:pPr>
        <w:numPr>
          <w:ilvl w:val="0"/>
          <w:numId w:val="1005"/>
        </w:numPr>
        <w:pStyle w:val="Compact"/>
      </w:pPr>
      <w:r>
        <w:rPr>
          <w:bCs/>
          <w:b/>
        </w:rPr>
        <w:t xml:space="preserve">Landfill Emission Factor (Mixed Waste):</w:t>
      </w:r>
      <w:r>
        <w:t xml:space="preserve"> </w:t>
      </w:r>
      <w:r>
        <w:t xml:space="preserve">0.1 kg CO2e/kg (or 100 kg CO2e/tonne) for the non-recycled portion</w:t>
      </w:r>
    </w:p>
    <w:p>
      <w:pPr>
        <w:numPr>
          <w:ilvl w:val="0"/>
          <w:numId w:val="1005"/>
        </w:numPr>
        <w:pStyle w:val="Compact"/>
      </w:pPr>
      <w:r>
        <w:rPr>
          <w:bCs/>
          <w:b/>
        </w:rPr>
        <w:t xml:space="preserve">Avoided Emissions from Recycling (Mixed Recyclables - average):</w:t>
      </w:r>
      <w:r>
        <w:t xml:space="preserve"> </w:t>
      </w:r>
      <w:r>
        <w:t xml:space="preserve">-1.5 kg CO2e/kg (Illustrative average for mixed metals/plastics)</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Emissions are categorized and calculated according to the GHG Protocol. All calculations for placeholder values are illustrative demonstrations.</w:t>
      </w:r>
    </w:p>
    <w:bookmarkStart w:id="35" w:name="scope-1-emissions-direct-emissions"/>
    <w:p>
      <w:pPr>
        <w:pStyle w:val="Heading3"/>
      </w:pPr>
      <w:r>
        <w:t xml:space="preserve">4.1. Scope 1 Emissions (Direct Emissions)</w:t>
      </w:r>
    </w:p>
    <w:p>
      <w:pPr>
        <w:pStyle w:val="FirstParagraph"/>
      </w:pPr>
      <w:r>
        <w:t xml:space="preserve">For a Product Carbon Footprint (PCF) with a "factory_gate" system boundary for the core manufacturing, Scope 1 emissions (direct emissions from owned or controlled sources) are generally attributed to the operational level of the company, not typically disaggregated to individual products unless specific manufacturing processes directly result in product-specific Scope 1 emissions. As per the defined system boundary and available parameters, direct Scope 1 emissions from the manufacturing of rjnuyulwqz are assumed to be negligible or are accounted for implicitly within the Scope 2 (purchased energy) or Scope 3 (purchased goods and services, fuel- and energy-related activities not in Scope 1 or 2) categories for the product level. Any on-site fuel combustion or process emissions from the factory would typically be included in the Corporate GHG Inventory. For this PCF, we focus on the indirect emissions relevant to the product\'s life cycle.</w:t>
      </w:r>
    </w:p>
    <w:bookmarkEnd w:id="35"/>
    <w:bookmarkStart w:id="36" w:name="X106723508c804bc8a37037d9ba14108ce1f8671"/>
    <w:p>
      <w:pPr>
        <w:pStyle w:val="Heading3"/>
      </w:pPr>
      <w:r>
        <w:t xml:space="preserve">4.2. Scope 2 Emissions (Purchased Energy - Production)</w:t>
      </w:r>
    </w:p>
    <w:p>
      <w:pPr>
        <w:pStyle w:val="FirstParagraph"/>
      </w:pPr>
      <w:r>
        <w:t xml:space="preserve">Scope 2 emissions for the production phase account for greenhouse gases from the generation of purchased electricity consumed by the company (fklksmuyjy) in China.</w:t>
      </w:r>
    </w:p>
    <w:p>
      <w:pPr>
        <w:numPr>
          <w:ilvl w:val="0"/>
          <w:numId w:val="1006"/>
        </w:numPr>
        <w:pStyle w:val="Compact"/>
      </w:pPr>
      <w:r>
        <w:t xml:space="preserve">Energy Intensity (ppxqijduon): 20 kWh/unit</w:t>
      </w:r>
    </w:p>
    <w:p>
      <w:pPr>
        <w:numPr>
          <w:ilvl w:val="0"/>
          <w:numId w:val="1006"/>
        </w:numPr>
        <w:pStyle w:val="Compact"/>
      </w:pPr>
      <w:r>
        <w:t xml:space="preserve">Renewable Energy Usage (deugzflris): 50%</w:t>
      </w:r>
    </w:p>
    <w:p>
      <w:pPr>
        <w:numPr>
          <w:ilvl w:val="0"/>
          <w:numId w:val="1006"/>
        </w:numPr>
        <w:pStyle w:val="Compact"/>
      </w:pPr>
      <w:r>
        <w:t xml:space="preserve">Non-renewable energy consumed: 20 kWh/unit * (1 - 0.50) = 10 kWh/unit</w:t>
      </w:r>
    </w:p>
    <w:p>
      <w:pPr>
        <w:numPr>
          <w:ilvl w:val="0"/>
          <w:numId w:val="1006"/>
        </w:numPr>
        <w:pStyle w:val="Compact"/>
      </w:pPr>
      <w:r>
        <w:t xml:space="preserve">China Grid Emission Factor: 0.60 kg CO2e/kWh</w:t>
      </w:r>
    </w:p>
    <w:p>
      <w:pPr>
        <w:numPr>
          <w:ilvl w:val="0"/>
          <w:numId w:val="1006"/>
        </w:numPr>
        <w:pStyle w:val="Compact"/>
      </w:pPr>
      <w:r>
        <w:rPr>
          <w:bCs/>
          <w:b/>
        </w:rPr>
        <w:t xml:space="preserve">Calculation:</w:t>
      </w:r>
      <w:r>
        <w:t xml:space="preserve"> </w:t>
      </w:r>
      <w:r>
        <w:t xml:space="preserve">10 kWh/unit * 0.60 kg CO2e/kWh =</w:t>
      </w:r>
      <w:r>
        <w:t xml:space="preserve"> </w:t>
      </w:r>
      <w:r>
        <w:rPr>
          <w:bCs/>
          <w:b/>
        </w:rPr>
        <w:t xml:space="preserve">6.0 kg CO2e/unit</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vast majority of the product\'s carbon footprint, covering both upstream and downstream activities. This analysis ensures at least 95% coverage for Scope 3 reporting as per 2026 requirements.</w:t>
      </w:r>
    </w:p>
    <w:bookmarkStart w:id="37" w:name="Xab9729a0caae076ca89f2f71668734f92723cf2"/>
    <w:p>
      <w:pPr>
        <w:pStyle w:val="Heading4"/>
      </w:pPr>
      <w:r>
        <w:t xml:space="preserve">4.3.1. Category 1: Purchased Goods and Services (Materials)</w:t>
      </w:r>
    </w:p>
    <w:p>
      <w:pPr>
        <w:pStyle w:val="FirstParagraph"/>
      </w:pPr>
      <w:r>
        <w:t xml:space="preserve">This category includes emissions from the extraction, production, and transportation of purchased raw materials and components, based on the illustrative BOM data.</w:t>
      </w:r>
    </w:p>
    <w:p>
      <w:pPr>
        <w:numPr>
          <w:ilvl w:val="0"/>
          <w:numId w:val="1007"/>
        </w:numPr>
        <w:pStyle w:val="Compact"/>
      </w:pPr>
      <w:r>
        <w:rPr>
          <w:bCs/>
          <w:b/>
        </w:rPr>
        <w:t xml:space="preserve">Total Material Carbon Footprint (from BOM table above):</w:t>
      </w:r>
      <w:r>
        <w:t xml:space="preserve"> </w:t>
      </w:r>
      <w:r>
        <w:t xml:space="preserve">42.3 kg CO2e/unit</w:t>
      </w:r>
    </w:p>
    <w:bookmarkEnd w:id="37"/>
    <w:bookmarkStart w:id="38" w:name="X5cb38d85c34037ed91a42f9dbff555bfdf1dda6"/>
    <w:p>
      <w:pPr>
        <w:pStyle w:val="Heading4"/>
      </w:pPr>
      <w:r>
        <w:t xml:space="preserve">4.3.2. Category 4: Upstream Transportation and Distribution (Raw Materials to Factory)</w:t>
      </w:r>
    </w:p>
    <w:p>
      <w:pPr>
        <w:pStyle w:val="FirstParagraph"/>
      </w:pPr>
      <w:r>
        <w:t xml:space="preserve">This covers the transportation of raw materials and components to the fklksmuyjy factory in China. Given the "Europe Focused" supply chain, we assume an average upstream transport distance for key materials. For illustrative purposes, we assume a representative average of 2,000 km by road (within Europe) for 5.7 kg of materials (total product weight as proxy for total material input weight).</w:t>
      </w:r>
    </w:p>
    <w:p>
      <w:pPr>
        <w:numPr>
          <w:ilvl w:val="0"/>
          <w:numId w:val="1008"/>
        </w:numPr>
        <w:pStyle w:val="Compact"/>
      </w:pPr>
      <w:r>
        <w:t xml:space="preserve">Illustrative Product Weight: 5.7 kg = 0.0057 tonnes</w:t>
      </w:r>
    </w:p>
    <w:p>
      <w:pPr>
        <w:numPr>
          <w:ilvl w:val="0"/>
          <w:numId w:val="1008"/>
        </w:numPr>
        <w:pStyle w:val="Compact"/>
      </w:pPr>
      <w:r>
        <w:t xml:space="preserve">Illustrative Distance: 2,000 km (Road Freight)</w:t>
      </w:r>
    </w:p>
    <w:p>
      <w:pPr>
        <w:numPr>
          <w:ilvl w:val="0"/>
          <w:numId w:val="1008"/>
        </w:numPr>
        <w:pStyle w:val="Compact"/>
      </w:pPr>
      <w:r>
        <w:t xml:space="preserve">Road Freight Emission Factor: 0.20 kg CO2e/tonne-km</w:t>
      </w:r>
    </w:p>
    <w:p>
      <w:pPr>
        <w:numPr>
          <w:ilvl w:val="0"/>
          <w:numId w:val="1008"/>
        </w:numPr>
        <w:pStyle w:val="Compact"/>
      </w:pPr>
      <w:r>
        <w:rPr>
          <w:bCs/>
          <w:b/>
        </w:rPr>
        <w:t xml:space="preserve">Calculation:</w:t>
      </w:r>
      <w:r>
        <w:t xml:space="preserve"> </w:t>
      </w:r>
      <w:r>
        <w:t xml:space="preserve">0.0057 tonnes * 2,000 km * 0.20 kg CO2e/tonne-km =</w:t>
      </w:r>
      <w:r>
        <w:t xml:space="preserve"> </w:t>
      </w:r>
      <w:r>
        <w:rPr>
          <w:bCs/>
          <w:b/>
        </w:rPr>
        <w:t xml:space="preserve">2.28 kg CO2e/unit</w:t>
      </w:r>
    </w:p>
    <w:bookmarkEnd w:id="38"/>
    <w:bookmarkStart w:id="39" w:name="Xa32023fd28fc00b82dd5b138231150531bb01dc"/>
    <w:p>
      <w:pPr>
        <w:pStyle w:val="Heading4"/>
      </w:pPr>
      <w:r>
        <w:t xml:space="preserve">4.3.3. Category 9: Downstream Transportation and Distribution (Factory to Customer, including Last-Mile)</w:t>
      </w:r>
    </w:p>
    <w:p>
      <w:pPr>
        <w:pStyle w:val="FirstParagraph"/>
      </w:pPr>
      <w:r>
        <w:t xml:space="preserve">This includes the transportation of the finished product from the factory gate in China to the customer, incorporating both main leg and last-mile delivery.</w:t>
      </w:r>
    </w:p>
    <w:p>
      <w:pPr>
        <w:numPr>
          <w:ilvl w:val="0"/>
          <w:numId w:val="1009"/>
        </w:numPr>
        <w:pStyle w:val="Compact"/>
      </w:pPr>
      <w:r>
        <w:t xml:space="preserve">Illustrative Product Weight: 5.7 kg = 0.0057 tonnes</w:t>
      </w:r>
    </w:p>
    <w:p>
      <w:pPr>
        <w:numPr>
          <w:ilvl w:val="0"/>
          <w:numId w:val="1009"/>
        </w:numPr>
        <w:pStyle w:val="Compact"/>
      </w:pPr>
      <w:r>
        <w:rPr>
          <w:bCs/>
          <w:b/>
        </w:rPr>
        <w:t xml:space="preserve">Main Leg (Ocean Freight):</w:t>
      </w:r>
    </w:p>
    <w:p>
      <w:pPr>
        <w:numPr>
          <w:ilvl w:val="1"/>
          <w:numId w:val="1010"/>
        </w:numPr>
        <w:pStyle w:val="Compact"/>
      </w:pPr>
      <w:r>
        <w:t xml:space="preserve">Distance (ksrqmiyyme): 10,000 km</w:t>
      </w:r>
    </w:p>
    <w:p>
      <w:pPr>
        <w:numPr>
          <w:ilvl w:val="1"/>
          <w:numId w:val="1010"/>
        </w:numPr>
        <w:pStyle w:val="Compact"/>
      </w:pPr>
      <w:r>
        <w:t xml:space="preserve">Ocean Freight Emission Factor: 0.016 kg CO2e/tonne-km</w:t>
      </w:r>
    </w:p>
    <w:p>
      <w:pPr>
        <w:numPr>
          <w:ilvl w:val="1"/>
          <w:numId w:val="1010"/>
        </w:numPr>
        <w:pStyle w:val="Compact"/>
      </w:pPr>
      <w:r>
        <w:rPr>
          <w:bCs/>
          <w:b/>
        </w:rPr>
        <w:t xml:space="preserve">Calculation:</w:t>
      </w:r>
      <w:r>
        <w:t xml:space="preserve"> </w:t>
      </w:r>
      <w:r>
        <w:t xml:space="preserve">0.0057 tonnes * 10,000 km * 0.016 kg CO2e/tonne-km =</w:t>
      </w:r>
      <w:r>
        <w:t xml:space="preserve"> </w:t>
      </w:r>
      <w:r>
        <w:rPr>
          <w:bCs/>
          <w:b/>
        </w:rPr>
        <w:t xml:space="preserve">0.912 kg CO2e/unit</w:t>
      </w:r>
    </w:p>
    <w:p>
      <w:pPr>
        <w:numPr>
          <w:ilvl w:val="0"/>
          <w:numId w:val="1009"/>
        </w:numPr>
        <w:pStyle w:val="Compact"/>
      </w:pPr>
      <w:r>
        <w:rPr>
          <w:bCs/>
          <w:b/>
        </w:rPr>
        <w:t xml:space="preserve">Last-Mile Delivery (Road Freight - Light Commercial Vehicle):</w:t>
      </w:r>
    </w:p>
    <w:p>
      <w:pPr>
        <w:numPr>
          <w:ilvl w:val="1"/>
          <w:numId w:val="1011"/>
        </w:numPr>
        <w:pStyle w:val="Compact"/>
      </w:pPr>
      <w:r>
        <w:t xml:space="preserve">Distance (Illustrative): 500 km</w:t>
      </w:r>
    </w:p>
    <w:p>
      <w:pPr>
        <w:numPr>
          <w:ilvl w:val="1"/>
          <w:numId w:val="1011"/>
        </w:numPr>
        <w:pStyle w:val="Compact"/>
      </w:pPr>
      <w:r>
        <w:t xml:space="preserve">Road Freight (LCV) Emission Factor: 0.20 kg CO2e/tonne-km</w:t>
      </w:r>
    </w:p>
    <w:p>
      <w:pPr>
        <w:numPr>
          <w:ilvl w:val="1"/>
          <w:numId w:val="1011"/>
        </w:numPr>
        <w:pStyle w:val="Compact"/>
      </w:pPr>
      <w:r>
        <w:rPr>
          <w:bCs/>
          <w:b/>
        </w:rPr>
        <w:t xml:space="preserve">Calculation:</w:t>
      </w:r>
      <w:r>
        <w:t xml:space="preserve"> </w:t>
      </w:r>
      <w:r>
        <w:t xml:space="preserve">0.0057 tonnes * 500 km * 0.20 kg CO2e/tonne-km =</w:t>
      </w:r>
      <w:r>
        <w:t xml:space="preserve"> </w:t>
      </w:r>
      <w:r>
        <w:rPr>
          <w:bCs/>
          <w:b/>
        </w:rPr>
        <w:t xml:space="preserve">0.57 kg CO2e/unit</w:t>
      </w:r>
    </w:p>
    <w:p>
      <w:pPr>
        <w:numPr>
          <w:ilvl w:val="0"/>
          <w:numId w:val="1009"/>
        </w:numPr>
        <w:pStyle w:val="Compact"/>
      </w:pPr>
      <w:r>
        <w:rPr>
          <w:bCs/>
          <w:b/>
        </w:rPr>
        <w:t xml:space="preserve">Total Downstream Transportation:</w:t>
      </w:r>
      <w:r>
        <w:t xml:space="preserve"> </w:t>
      </w:r>
      <w:r>
        <w:t xml:space="preserve">0.912 + 0.57 =</w:t>
      </w:r>
      <w:r>
        <w:t xml:space="preserve"> </w:t>
      </w:r>
      <w:r>
        <w:rPr>
          <w:bCs/>
          <w:b/>
        </w:rPr>
        <w:t xml:space="preserve">1.482 kg CO2e/unit</w:t>
      </w:r>
    </w:p>
    <w:bookmarkEnd w:id="39"/>
    <w:bookmarkStart w:id="40" w:name="category-11-use-of-sold-products"/>
    <w:p>
      <w:pPr>
        <w:pStyle w:val="Heading4"/>
      </w:pPr>
      <w:r>
        <w:t xml:space="preserve">4.3.4. Category 11: Use of Sold Products</w:t>
      </w:r>
    </w:p>
    <w:p>
      <w:pPr>
        <w:pStyle w:val="FirstParagraph"/>
      </w:pPr>
      <w:r>
        <w:t xml:space="preserve">Emissions from the energy consumption during the product\'s lifespan, based on provided parameters.</w:t>
      </w:r>
    </w:p>
    <w:p>
      <w:pPr>
        <w:numPr>
          <w:ilvl w:val="0"/>
          <w:numId w:val="1012"/>
        </w:numPr>
        <w:pStyle w:val="Compact"/>
      </w:pPr>
      <w:r>
        <w:t xml:space="preserve">Product Lifespan (tsffkdkwtj): 5 years</w:t>
      </w:r>
    </w:p>
    <w:p>
      <w:pPr>
        <w:numPr>
          <w:ilvl w:val="0"/>
          <w:numId w:val="1012"/>
        </w:numPr>
        <w:pStyle w:val="Compact"/>
      </w:pPr>
      <w:r>
        <w:t xml:space="preserve">Energy Consumption in Use (kyuegzxhpn): 10 kWh/year</w:t>
      </w:r>
    </w:p>
    <w:p>
      <w:pPr>
        <w:numPr>
          <w:ilvl w:val="0"/>
          <w:numId w:val="1012"/>
        </w:numPr>
        <w:pStyle w:val="Compact"/>
      </w:pPr>
      <w:r>
        <w:t xml:space="preserve">Total energy consumed over lifespan: 10 kWh/year * 5 years = 50 kWh/unit</w:t>
      </w:r>
    </w:p>
    <w:p>
      <w:pPr>
        <w:numPr>
          <w:ilvl w:val="0"/>
          <w:numId w:val="1012"/>
        </w:numPr>
        <w:pStyle w:val="Compact"/>
      </w:pPr>
      <w:r>
        <w:t xml:space="preserve">Typical Use Phase Electricity Grid Emission Factor (Europe): 0.28 kg CO2e/kWh (Illustrative EU average)</w:t>
      </w:r>
    </w:p>
    <w:p>
      <w:pPr>
        <w:numPr>
          <w:ilvl w:val="0"/>
          <w:numId w:val="1012"/>
        </w:numPr>
        <w:pStyle w:val="Compact"/>
      </w:pPr>
      <w:r>
        <w:rPr>
          <w:bCs/>
          <w:b/>
        </w:rPr>
        <w:t xml:space="preserve">Calculation:</w:t>
      </w:r>
      <w:r>
        <w:t xml:space="preserve"> </w:t>
      </w:r>
      <w:r>
        <w:t xml:space="preserve">50 kWh/unit * 0.28 kg CO2e/kWh =</w:t>
      </w:r>
      <w:r>
        <w:t xml:space="preserve"> </w:t>
      </w:r>
      <w:r>
        <w:rPr>
          <w:bCs/>
          <w:b/>
        </w:rPr>
        <w:t xml:space="preserve">14.0 kg 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This accounts for emissions from disposal (landfill) and avoided emissions from recycling at the end of the product\'s life.</w:t>
      </w:r>
    </w:p>
    <w:p>
      <w:pPr>
        <w:numPr>
          <w:ilvl w:val="0"/>
          <w:numId w:val="1013"/>
        </w:numPr>
        <w:pStyle w:val="Compact"/>
      </w:pPr>
      <w:r>
        <w:t xml:space="preserve">Illustrative Product Weight: 5.7 kg</w:t>
      </w:r>
    </w:p>
    <w:p>
      <w:pPr>
        <w:numPr>
          <w:ilvl w:val="0"/>
          <w:numId w:val="1013"/>
        </w:numPr>
        <w:pStyle w:val="Compact"/>
      </w:pPr>
      <w:r>
        <w:t xml:space="preserve">Recyclability Percentage (riphprrddj): 70%</w:t>
      </w:r>
    </w:p>
    <w:p>
      <w:pPr>
        <w:numPr>
          <w:ilvl w:val="0"/>
          <w:numId w:val="1013"/>
        </w:numPr>
        <w:pStyle w:val="Compact"/>
      </w:pPr>
      <w:r>
        <w:t xml:space="preserve">Non-recyclable portion: 5.7 kg * (1 - 0.70) = 1.71 kg</w:t>
      </w:r>
    </w:p>
    <w:p>
      <w:pPr>
        <w:numPr>
          <w:ilvl w:val="0"/>
          <w:numId w:val="1013"/>
        </w:numPr>
        <w:pStyle w:val="Compact"/>
      </w:pPr>
      <w:r>
        <w:t xml:space="preserve">Recyclable portion: 5.7 kg * 0.70 = 3.99 kg</w:t>
      </w:r>
    </w:p>
    <w:p>
      <w:pPr>
        <w:numPr>
          <w:ilvl w:val="0"/>
          <w:numId w:val="1013"/>
        </w:numPr>
        <w:pStyle w:val="Compact"/>
      </w:pPr>
      <w:r>
        <w:rPr>
          <w:bCs/>
          <w:b/>
        </w:rPr>
        <w:t xml:space="preserve">Emissions from Landfill (Non-Recycled Portion):</w:t>
      </w:r>
    </w:p>
    <w:p>
      <w:pPr>
        <w:numPr>
          <w:ilvl w:val="1"/>
          <w:numId w:val="1014"/>
        </w:numPr>
        <w:pStyle w:val="Compact"/>
      </w:pPr>
      <w:r>
        <w:t xml:space="preserve">Landfill Emission Factor: 0.1 kg CO2e/kg</w:t>
      </w:r>
    </w:p>
    <w:p>
      <w:pPr>
        <w:numPr>
          <w:ilvl w:val="1"/>
          <w:numId w:val="1014"/>
        </w:numPr>
        <w:pStyle w:val="Compact"/>
      </w:pPr>
      <w:r>
        <w:rPr>
          <w:bCs/>
          <w:b/>
        </w:rPr>
        <w:t xml:space="preserve">Calculation:</w:t>
      </w:r>
      <w:r>
        <w:t xml:space="preserve"> </w:t>
      </w:r>
      <w:r>
        <w:t xml:space="preserve">1.71 kg * 0.1 kg CO2e/kg =</w:t>
      </w:r>
      <w:r>
        <w:t xml:space="preserve"> </w:t>
      </w:r>
      <w:r>
        <w:rPr>
          <w:bCs/>
          <w:b/>
        </w:rPr>
        <w:t xml:space="preserve">0.171 kg CO2e/unit</w:t>
      </w:r>
    </w:p>
    <w:p>
      <w:pPr>
        <w:numPr>
          <w:ilvl w:val="0"/>
          <w:numId w:val="1013"/>
        </w:numPr>
        <w:pStyle w:val="Compact"/>
      </w:pPr>
      <w:r>
        <w:rPr>
          <w:bCs/>
          <w:b/>
        </w:rPr>
        <w:t xml:space="preserve">Avoided Emissions from Recycling (Recycled Portion):</w:t>
      </w:r>
    </w:p>
    <w:p>
      <w:pPr>
        <w:numPr>
          <w:ilvl w:val="1"/>
          <w:numId w:val="1015"/>
        </w:numPr>
        <w:pStyle w:val="Compact"/>
      </w:pPr>
      <w:r>
        <w:t xml:space="preserve">Avoided Emissions Factor: -1.5 kg CO2e/kg</w:t>
      </w:r>
    </w:p>
    <w:p>
      <w:pPr>
        <w:numPr>
          <w:ilvl w:val="1"/>
          <w:numId w:val="1015"/>
        </w:numPr>
        <w:pStyle w:val="Compact"/>
      </w:pPr>
      <w:r>
        <w:rPr>
          <w:bCs/>
          <w:b/>
        </w:rPr>
        <w:t xml:space="preserve">Calculation:</w:t>
      </w:r>
      <w:r>
        <w:t xml:space="preserve"> </w:t>
      </w:r>
      <w:r>
        <w:t xml:space="preserve">3.99 kg * (-1.5 kg CO2e/kg) =</w:t>
      </w:r>
      <w:r>
        <w:t xml:space="preserve"> </w:t>
      </w:r>
      <w:r>
        <w:rPr>
          <w:bCs/>
          <w:b/>
        </w:rPr>
        <w:t xml:space="preserve">-5.985 kg CO2e/unit</w:t>
      </w:r>
    </w:p>
    <w:p>
      <w:pPr>
        <w:numPr>
          <w:ilvl w:val="0"/>
          <w:numId w:val="1013"/>
        </w:numPr>
        <w:pStyle w:val="Compact"/>
      </w:pPr>
      <w:r>
        <w:t xml:space="preserve">Circular/Take-back Programs (khysfoites): "Yes, operational in Europe" is noted, further supporting the potential for high recyclability and reduced end-of-life impact.</w:t>
      </w:r>
    </w:p>
    <w:p>
      <w:pPr>
        <w:numPr>
          <w:ilvl w:val="0"/>
          <w:numId w:val="1013"/>
        </w:numPr>
        <w:pStyle w:val="Compact"/>
      </w:pPr>
      <w:r>
        <w:rPr>
          <w:bCs/>
          <w:b/>
        </w:rPr>
        <w:t xml:space="preserve">Total End-of-Life Emissions:</w:t>
      </w:r>
      <w:r>
        <w:t xml:space="preserve"> </w:t>
      </w:r>
      <w:r>
        <w:t xml:space="preserve">0.171 + (-5.985) =</w:t>
      </w:r>
      <w:r>
        <w:t xml:space="preserve"> </w:t>
      </w:r>
      <w:r>
        <w:rPr>
          <w:bCs/>
          <w:b/>
        </w:rPr>
        <w:t xml:space="preserve">-5.814 kg CO2e/unit</w:t>
      </w:r>
    </w:p>
    <w:bookmarkEnd w:id="41"/>
    <w:bookmarkEnd w:id="42"/>
    <w:bookmarkStart w:id="43" w:name="Xb771e838164d96a857704d603facfe48bf33b10"/>
    <w:p>
      <w:pPr>
        <w:pStyle w:val="Heading3"/>
      </w:pPr>
      <w:r>
        <w:t xml:space="preserve">4.4. Summary of PCF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Scope/Stage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CO2e (kg/unit)</w:t>
            </w:r>
          </w:p>
        </w:tc>
      </w:tr>
      <w:tr>
        <w:tc>
          <w:tcPr/>
          <w:p>
            <w:pPr>
              <w:pStyle w:val="Compact"/>
              <w:jc w:val="left"/>
            </w:pPr>
            <w:r>
              <w:rPr>
                <w:bCs/>
                <w:b/>
              </w:rPr>
              <w:t xml:space="preserve">Scope 1</w:t>
            </w:r>
          </w:p>
        </w:tc>
        <w:tc>
          <w:tcPr/>
          <w:p>
            <w:pPr>
              <w:pStyle w:val="Compact"/>
              <w:jc w:val="left"/>
            </w:pPr>
            <w:r>
              <w:t xml:space="preserve">-</w:t>
            </w:r>
          </w:p>
        </w:tc>
        <w:tc>
          <w:tcPr/>
          <w:p>
            <w:pPr>
              <w:pStyle w:val="Compact"/>
              <w:jc w:val="left"/>
            </w:pPr>
            <w:r>
              <w:t xml:space="preserve">Direct emissions from operations</w:t>
            </w:r>
          </w:p>
        </w:tc>
        <w:tc>
          <w:tcPr/>
          <w:p>
            <w:pPr>
              <w:pStyle w:val="Compact"/>
              <w:jc w:val="left"/>
            </w:pPr>
            <w:r>
              <w:t xml:space="preserve">0.0 (negligible for PCF)</w:t>
            </w:r>
          </w:p>
        </w:tc>
      </w:tr>
      <w:tr>
        <w:tc>
          <w:tcPr/>
          <w:p>
            <w:pPr>
              <w:pStyle w:val="Compact"/>
              <w:jc w:val="left"/>
            </w:pPr>
            <w:r>
              <w:rPr>
                <w:bCs/>
                <w:b/>
              </w:rPr>
              <w:t xml:space="preserve">Scope 2</w:t>
            </w:r>
          </w:p>
        </w:tc>
        <w:tc>
          <w:tcPr/>
          <w:p>
            <w:pPr>
              <w:pStyle w:val="Compact"/>
              <w:jc w:val="left"/>
            </w:pPr>
            <w:r>
              <w:t xml:space="preserve">-</w:t>
            </w:r>
          </w:p>
        </w:tc>
        <w:tc>
          <w:tcPr/>
          <w:p>
            <w:pPr>
              <w:pStyle w:val="Compact"/>
              <w:jc w:val="left"/>
            </w:pPr>
            <w:r>
              <w:t xml:space="preserve">Purchased Electricity (Production)</w:t>
            </w:r>
          </w:p>
        </w:tc>
        <w:tc>
          <w:tcPr/>
          <w:p>
            <w:pPr>
              <w:pStyle w:val="Compact"/>
              <w:jc w:val="left"/>
            </w:pPr>
            <w:r>
              <w:t xml:space="preserve">6.0</w:t>
            </w:r>
          </w:p>
        </w:tc>
      </w:tr>
      <w:tr>
        <w:tc>
          <w:tcPr>
            <w:vMerge w:val="restart"/>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42.3</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2.28</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1.482</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14.0</w:t>
            </w:r>
          </w:p>
        </w:tc>
      </w:tr>
      <w:tr>
        <w:tc>
          <w:tcPr/>
          <w:p>
            <w:pPr>
              <w:pStyle w:val="Compact"/>
              <w:jc w:val="left"/>
            </w:pPr>
            <w:r>
              <w:rPr>
                <w:bCs/>
                <w:b/>
              </w:rPr>
              <w:t xml:space="preserve">Scope 3 (Net)</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-5.814</w:t>
            </w:r>
          </w:p>
        </w:tc>
      </w:tr>
      <w:tr>
        <w:tc>
          <w:tcPr>
            <w:gridSpan w:val="3"/>
          </w:tcPr>
          <w:p>
            <w:pPr>
              <w:pStyle w:val="Compact"/>
              <w:jc w:val="left"/>
            </w:pPr>
            <w:r>
              <w:rPr>
                <w:bCs/>
                <w:b/>
              </w:rPr>
              <w:t xml:space="preserve">TOTAL PRODUCT CARBON FOOTPRINT (Illustrative)</w:t>
            </w:r>
          </w:p>
        </w:tc>
        <w:tc>
          <w:tcPr/>
          <w:p>
            <w:pPr>
              <w:pStyle w:val="Compact"/>
              <w:jc w:val="left"/>
            </w:pPr>
            <w:r>
              <w:rPr>
                <w:bCs/>
                <w:b/>
              </w:rPr>
              <w:t xml:space="preserve">60.248 kg CO2e/unit</w:t>
            </w:r>
          </w:p>
        </w:tc>
      </w:tr>
    </w:tbl>
    <w:p>
      <w:pPr>
        <w:pStyle w:val="BodyText"/>
      </w:pPr>
      <w:r>
        <w:rPr>
          <w:bCs/>
          <w:b/>
        </w:rPr>
        <w:t xml:space="preserve">Note on LSR Update:</w:t>
      </w:r>
      <w:r>
        <w:t xml:space="preserve"> </w:t>
      </w:r>
      <w:r>
        <w:t xml:space="preserve">The Land Sector and Removals Standard provides guidance on accounting for land-based emissions and removals. For rjnuyulwqz, specific land-use emissions (e.g., from agricultural feedstocks) would be captured within the "Purchased Goods and Services" (Scope 3, Category 1) if relevant to its raw materials. The negative value for End-of-Life reflects the avoided emissions due to high recyclability, which aligns with the LSR\'s focus on accounting for removals and avoided impacts. This report adheres to the principles of the LSR Standard by explicitly considering the carbon removals through recycling efforts.</w:t>
      </w:r>
    </w:p>
    <w:p>
      <w:r>
        <w:pict>
          <v:rect style="width:0;height:1.5pt" o:hralign="center" o:hrstd="t" o:hr="t"/>
        </w:pict>
      </w:r>
    </w:p>
    <w:bookmarkEnd w:id="43"/>
    <w:bookmarkEnd w:id="44"/>
    <w:bookmarkStart w:id="47"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Based on this illustrative analysis, the primary emission hotspots for rjnuyulwqz are:</w:t>
      </w:r>
    </w:p>
    <w:p>
      <w:pPr>
        <w:numPr>
          <w:ilvl w:val="0"/>
          <w:numId w:val="1016"/>
        </w:numPr>
        <w:pStyle w:val="Compact"/>
      </w:pPr>
      <w:r>
        <w:rPr>
          <w:bCs/>
          <w:b/>
        </w:rPr>
        <w:t xml:space="preserve">Purchased Goods and Services (Materials - Scope 3, Category 1):</w:t>
      </w:r>
      <w:r>
        <w:t xml:space="preserve"> </w:t>
      </w:r>
      <w:r>
        <w:t xml:space="preserve">Representing the largest portion of the footprint at 42.3 kg CO2e/unit (approx. 70% of the total). This highlights the critical importance of material selection, sustainable sourcing, and engaging with suppliers to reduce their embodied emissions.</w:t>
      </w:r>
    </w:p>
    <w:p>
      <w:pPr>
        <w:numPr>
          <w:ilvl w:val="0"/>
          <w:numId w:val="1016"/>
        </w:numPr>
        <w:pStyle w:val="Compact"/>
      </w:pPr>
      <w:r>
        <w:rPr>
          <w:bCs/>
          <w:b/>
        </w:rPr>
        <w:t xml:space="preserve">Use of Sold Products (Scope 3, Category 11):</w:t>
      </w:r>
      <w:r>
        <w:t xml:space="preserve"> </w:t>
      </w:r>
      <w:r>
        <w:t xml:space="preserve">Contributes 14.0 kg CO2e/unit (approx. 23% of the total). Efforts to improve product energy efficiency during its operational life are crucial.</w:t>
      </w:r>
    </w:p>
    <w:p>
      <w:pPr>
        <w:numPr>
          <w:ilvl w:val="0"/>
          <w:numId w:val="1016"/>
        </w:numPr>
        <w:pStyle w:val="Compact"/>
      </w:pPr>
      <w:r>
        <w:rPr>
          <w:bCs/>
          <w:b/>
        </w:rPr>
        <w:t xml:space="preserve">End-of-Life Treatment (Scope 3, Category 12):</w:t>
      </w:r>
      <w:r>
        <w:t xml:space="preserve"> </w:t>
      </w:r>
      <w:r>
        <w:t xml:space="preserve">Shows a net negative impact due to high recyclability, indicating a positive circular economy contribution. Expanding take-back programs and ensuring high-quality recycling are beneficial.</w:t>
      </w:r>
    </w:p>
    <w:p>
      <w:pPr>
        <w:numPr>
          <w:ilvl w:val="0"/>
          <w:numId w:val="1016"/>
        </w:numPr>
        <w:pStyle w:val="Compact"/>
      </w:pPr>
      <w:r>
        <w:rPr>
          <w:bCs/>
          <w:b/>
        </w:rPr>
        <w:t xml:space="preserve">Purchased Electricity for Production (Scope 2):</w:t>
      </w:r>
      <w:r>
        <w:t xml:space="preserve"> </w:t>
      </w:r>
      <w:r>
        <w:t xml:space="preserve">Accounts for 6.0 kg CO2e/unit (approx. 10% of the total), emphasizing the need for increased renewable energy adoption at manufacturing facilities in China.</w:t>
      </w:r>
    </w:p>
    <w:bookmarkEnd w:id="45"/>
    <w:bookmarkStart w:id="46" w:name="reliability-statement"/>
    <w:p>
      <w:pPr>
        <w:pStyle w:val="Heading3"/>
      </w:pPr>
      <w:r>
        <w:t xml:space="preserve">5.2. Reliability Statement</w:t>
      </w:r>
    </w:p>
    <w:p>
      <w:pPr>
        <w:pStyle w:val="FirstParagraph"/>
      </w:pPr>
      <w:r>
        <w:t xml:space="preserve">This report provides a high-level Product Carbon Footprint analysis based on the GHG Protocol and incorporates illustrative data for the specified parameters. While the methodology adheres to industry best practices and the latest GHG Protocol standards, including the 2026 LSR Update and 95% Scope 3 coverage, the accuracy of the quantitative results is directly dependent on the precision and completeness of the underlying data. The illustrative nature of the BOM, transport, energy, use phase, and EoL parameters means the calculated PCF is a demonstration of the methodology rather than a definitive statement of rjnuyulwqz\'s actual footprint. For a precise PCF, primary data from fklksmuyjy\'s actual operations and supply chain would be required.</w:t>
      </w:r>
    </w:p>
    <w:p>
      <w:pPr>
        <w:pStyle w:val="BodyText"/>
      </w:pPr>
      <w:r>
        <w:t xml:space="preserve">Further refinements would involve:</w:t>
      </w:r>
    </w:p>
    <w:p>
      <w:pPr>
        <w:numPr>
          <w:ilvl w:val="0"/>
          <w:numId w:val="1017"/>
        </w:numPr>
        <w:pStyle w:val="Compact"/>
      </w:pPr>
      <w:r>
        <w:t xml:space="preserve">Collecting specific primary data for all BOM items, including supplier-specific emission factors.</w:t>
      </w:r>
    </w:p>
    <w:p>
      <w:pPr>
        <w:numPr>
          <w:ilvl w:val="0"/>
          <w:numId w:val="1017"/>
        </w:numPr>
        <w:pStyle w:val="Compact"/>
      </w:pPr>
      <w:r>
        <w:t xml:space="preserve">Detailed mapping of all transport legs with actual distances, modes, and vehicle types.</w:t>
      </w:r>
    </w:p>
    <w:p>
      <w:pPr>
        <w:numPr>
          <w:ilvl w:val="0"/>
          <w:numId w:val="1017"/>
        </w:numPr>
        <w:pStyle w:val="Compact"/>
      </w:pPr>
      <w:r>
        <w:t xml:space="preserve">Country-specific electricity grid mixes for the use phase, reflecting anticipated global distribution.</w:t>
      </w:r>
    </w:p>
    <w:p>
      <w:pPr>
        <w:numPr>
          <w:ilvl w:val="0"/>
          <w:numId w:val="1017"/>
        </w:numPr>
        <w:pStyle w:val="Compact"/>
      </w:pPr>
      <w:r>
        <w:t xml:space="preserve">Specific data on recycling infrastructure and processes for each material type at end-of-life.</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rjnuyulwqz</dc:title>
  <dc:creator/>
  <dc:description>Detailed Product Carbon Footprint (PCF) analysis for rjnuyulwqz by ygjjtyjnhd, Senior Sustainability Consultant at fklksmuyjy, adhering to GHG Protocol and 2026 LSR Update requirements.</dc:description>
  <dc:language>en</dc:language>
  <cp:keywords/>
  <dcterms:created xsi:type="dcterms:W3CDTF">2026-07-15T04:36:17Z</dcterms:created>
  <dcterms:modified xsi:type="dcterms:W3CDTF">2026-07-15T04:36:17Z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