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risolduhqv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risolduhqv</w:t>
      </w:r>
    </w:p>
    <w:p>
      <w:pPr>
        <w:pStyle w:val="BodyText"/>
      </w:pPr>
      <w:r>
        <w:rPr>
          <w:bCs/>
          <w:b/>
        </w:rPr>
        <w:t xml:space="preserve">Company Name:</w:t>
      </w:r>
      <w:r>
        <w:t xml:space="preserve"> </w:t>
      </w:r>
      <w:r>
        <w:t xml:space="preserve">uynjotjnvd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xnlrnuwmkl</w:t>
      </w:r>
    </w:p>
    <w:p>
      <w:pPr>
        <w:pStyle w:val="BodyText"/>
      </w:pPr>
      <w:r>
        <w:t xml:space="preserve">This report is generated based on available data and industry standards. Actual numerical values for calculations rely on the accuracy and completeness of the provided input parameters.</w:t>
      </w:r>
    </w:p>
    <w:bookmarkEnd w:id="20"/>
    <w:bookmarkStart w:id="45"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risolduhqv</w:t>
      </w:r>
      <w:r>
        <w:t xml:space="preserve">, manufactured by</w:t>
      </w:r>
      <w:r>
        <w:t xml:space="preserve"> </w:t>
      </w:r>
      <w:r>
        <w:rPr>
          <w:bCs/>
          <w:b/>
        </w:rPr>
        <w:t xml:space="preserve">uynjotjnvd</w:t>
      </w:r>
      <w:r>
        <w:t xml:space="preserve">. The analysis, conducted by Senior Sustainability Consultant</w:t>
      </w:r>
      <w:r>
        <w:t xml:space="preserve"> </w:t>
      </w:r>
      <w:r>
        <w:rPr>
          <w:bCs/>
          <w:b/>
        </w:rPr>
        <w:t xml:space="preserve">xnlrnuwmkl</w:t>
      </w:r>
      <w:r>
        <w:t xml:space="preserve">, adheres strictly to the GHG Protocol Product Life Cycle Accounting and Reporting Standard. It provides a comprehensive assessment of greenhouse gas (GHG) emissions across the product\'s lifecycle, from raw material acquisition through its end-of-life, with a specific focus on a cradle-to-gate system boundary.</w:t>
      </w:r>
    </w:p>
    <w:p>
      <w:pPr>
        <w:pStyle w:val="BodyText"/>
      </w:pPr>
      <w:r>
        <w:t xml:space="preserve">The aim is to identify key emission hotspots, ensure compliance with the latest GHG Protocol updates including the 2026 Land Sector and Removals (LSR) Standard, and meet the stringent 95% Scope 3 coverage requirement. This analysis incorporates detailed bill of materials, logistics, energy usage, product lifespan, and end-of-life scenarios, using provided placeholder data to illustrate the methodology.</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foundational step in any PCF analysis is clearly defining the scope of the assessment. This ensures consistency and comparability of results.</w:t>
      </w:r>
    </w:p>
    <w:p>
      <w:pPr>
        <w:numPr>
          <w:ilvl w:val="0"/>
          <w:numId w:val="1001"/>
        </w:numPr>
        <w:pStyle w:val="Compact"/>
      </w:pPr>
      <w:r>
        <w:rPr>
          <w:bCs/>
          <w:b/>
        </w:rPr>
        <w:t xml:space="preserve">Functional Unit:</w:t>
      </w:r>
      <w:r>
        <w:t xml:space="preserve"> </w:t>
      </w:r>
      <w:r>
        <w:t xml:space="preserve">The functional unit for this PCF is defined as</w:t>
      </w:r>
      <w:r>
        <w:t xml:space="preserve"> </w:t>
      </w:r>
      <w:r>
        <w:rPr>
          <w:bCs/>
          <w:b/>
        </w:rPr>
        <w:t xml:space="preserve">1.0 unit</w:t>
      </w:r>
      <w:r>
        <w:t xml:space="preserve"> </w:t>
      </w:r>
      <w:r>
        <w:t xml:space="preserve">of risolduhqv. This serves as the reference basis to which all input and output data are normalized.</w:t>
      </w:r>
    </w:p>
    <w:p>
      <w:pPr>
        <w:numPr>
          <w:ilvl w:val="0"/>
          <w:numId w:val="1001"/>
        </w:numPr>
        <w:pStyle w:val="Compact"/>
      </w:pPr>
      <w:r>
        <w:rPr>
          <w:bCs/>
          <w:b/>
        </w:rPr>
        <w:t xml:space="preserve">System Boundary:</w:t>
      </w:r>
      <w:r>
        <w:t xml:space="preserve"> </w:t>
      </w:r>
      <w:r>
        <w:t xml:space="preserve">The analysis is conducted following a</w:t>
      </w:r>
      <w:r>
        <w:t xml:space="preserve"> </w:t>
      </w:r>
      <w:r>
        <w:rPr>
          <w:bCs/>
          <w:b/>
        </w:rPr>
        <w:t xml:space="preserve">factory_gate (cradle-to-gate)</w:t>
      </w:r>
      <w:r>
        <w:t xml:space="preserve"> </w:t>
      </w:r>
      <w:r>
        <w:t xml:space="preserve">system boundary. This includes all processes from the extraction of raw materials up to the point where the finished product leaves the manufacturing facility. It covers raw material acquisition, transport to manufacturing, and the manufacturing processes themselves.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Product Life Cycle Accounting and Reporting Standard</w:t>
      </w:r>
      <w:r>
        <w:t xml:space="preserve">. This standard provides a robust framework for quantifying and reporting GHG emissions associated with products across their life cycle.</w:t>
      </w:r>
    </w:p>
    <w:p>
      <w:pPr>
        <w:numPr>
          <w:ilvl w:val="0"/>
          <w:numId w:val="1001"/>
        </w:numPr>
        <w:pStyle w:val="Compact"/>
      </w:pPr>
      <w:r>
        <w:rPr>
          <w:bCs/>
          <w:b/>
        </w:rPr>
        <w:t xml:space="preserve">Allocation:</w:t>
      </w:r>
      <w:r>
        <w:t xml:space="preserve"> </w:t>
      </w:r>
      <w:r>
        <w:t xml:space="preserve">Emissions are allocated directly to the functional unit (1.0 unit of risolduhqv). Where shared processes or facilities exist, emissions would be allocated based on appropriate physical (e.g., mass, volume) or economic (e.g., revenue) causality, ensuring transparency and avoiding double-counting or omissions. Due to the placeholder nature of input data, specific allocation methods are outlined conceptually.</w:t>
      </w:r>
    </w:p>
    <w:p>
      <w:r>
        <w:pict>
          <v:rect style="width:0;height:1.5pt" o:hralign="center" o:hrstd="t" o:hr="t"/>
        </w:pict>
      </w:r>
    </w:p>
    <w:bookmarkEnd w:id="22"/>
    <w:bookmarkStart w:id="31" w:name="X9b3f95e3515408304ff4a9cec9842f2424d7a20"/>
    <w:p>
      <w:pPr>
        <w:pStyle w:val="Heading2"/>
      </w:pPr>
      <w:r>
        <w:t xml:space="preserve">2. Map Lifecycle (LCI Inventory Stages) &amp; 3. Collect Data (Primary/Secondary Data Points)</w:t>
      </w:r>
    </w:p>
    <w:p>
      <w:pPr>
        <w:pStyle w:val="FirstParagraph"/>
      </w:pPr>
      <w:r>
        <w:t xml:space="preserve">This section outlines the lifecycle stages considered and the data points collected for the PCF analysis. It is crucial for accurately building the Life Cycle Inventory (LCI).</w:t>
      </w:r>
    </w:p>
    <w:bookmarkStart w:id="23" w:name="lifecycle-stages"/>
    <w:p>
      <w:pPr>
        <w:pStyle w:val="Heading3"/>
      </w:pPr>
      <w:r>
        <w:t xml:space="preserve">2.1 Lifecycle Stages</w:t>
      </w:r>
    </w:p>
    <w:p>
      <w:pPr>
        <w:pStyle w:val="FirstParagraph"/>
      </w:pPr>
      <w:r>
        <w:t xml:space="preserve">The following lifecycle stages are mapped within the defined cradle-to-gate system boundary:</w:t>
      </w:r>
    </w:p>
    <w:p>
      <w:pPr>
        <w:numPr>
          <w:ilvl w:val="0"/>
          <w:numId w:val="1003"/>
        </w:numPr>
        <w:pStyle w:val="Compact"/>
      </w:pPr>
      <w:r>
        <w:rPr>
          <w:bCs/>
          <w:b/>
        </w:rPr>
        <w:t xml:space="preserve">Raw Material Acquisition:</w:t>
      </w:r>
      <w:r>
        <w:t xml:space="preserve"> </w:t>
      </w:r>
      <w:r>
        <w:t xml:space="preserve">Extraction and initial processing of all materials comprising the product.</w:t>
      </w:r>
    </w:p>
    <w:p>
      <w:pPr>
        <w:numPr>
          <w:ilvl w:val="0"/>
          <w:numId w:val="1003"/>
        </w:numPr>
        <w:pStyle w:val="Compact"/>
      </w:pPr>
      <w:r>
        <w:rPr>
          <w:bCs/>
          <w:b/>
        </w:rPr>
        <w:t xml:space="preserve">Material Transport:</w:t>
      </w:r>
      <w:r>
        <w:t xml:space="preserve"> </w:t>
      </w:r>
      <w:r>
        <w:t xml:space="preserve">Transportation of raw and semi-finished materials from their origin to the manufacturing facility.</w:t>
      </w:r>
    </w:p>
    <w:p>
      <w:pPr>
        <w:numPr>
          <w:ilvl w:val="0"/>
          <w:numId w:val="1003"/>
        </w:numPr>
        <w:pStyle w:val="Compact"/>
      </w:pPr>
      <w:r>
        <w:rPr>
          <w:bCs/>
          <w:b/>
        </w:rPr>
        <w:t xml:space="preserve">Manufacturing:</w:t>
      </w:r>
      <w:r>
        <w:t xml:space="preserve"> </w:t>
      </w:r>
      <w:r>
        <w:t xml:space="preserve">All energy, resource consumption, and direct emissions associated with the production of risolduhqv at the factory in China.</w:t>
      </w:r>
    </w:p>
    <w:p>
      <w:pPr>
        <w:pStyle w:val="FirstParagraph"/>
      </w:pPr>
      <w:r>
        <w:t xml:space="preserve">Although beyond the specified \'factory_gate\' boundary for direct calculation in this report, the following downstream stages are conceptually recognized and data points for them have been provided for a more comprehensive future "cradle-to-grave" analysis, indicating potential Scope 3 relevance:</w:t>
      </w:r>
    </w:p>
    <w:p>
      <w:pPr>
        <w:numPr>
          <w:ilvl w:val="0"/>
          <w:numId w:val="1004"/>
        </w:numPr>
        <w:pStyle w:val="Compact"/>
      </w:pPr>
      <w:r>
        <w:rPr>
          <w:bCs/>
          <w:b/>
        </w:rPr>
        <w:t xml:space="preserve">Distribution:</w:t>
      </w:r>
      <w:r>
        <w:t xml:space="preserve"> </w:t>
      </w:r>
      <w:r>
        <w:t xml:space="preserve">Transport of the finished product to the customer.</w:t>
      </w:r>
    </w:p>
    <w:p>
      <w:pPr>
        <w:numPr>
          <w:ilvl w:val="0"/>
          <w:numId w:val="1004"/>
        </w:numPr>
        <w:pStyle w:val="Compact"/>
      </w:pPr>
      <w:r>
        <w:rPr>
          <w:bCs/>
          <w:b/>
        </w:rPr>
        <w:t xml:space="preserve">Use Phase:</w:t>
      </w:r>
      <w:r>
        <w:t xml:space="preserve"> </w:t>
      </w:r>
      <w:r>
        <w:t xml:space="preserve">Energy consumption and any emissions during the product\'s operational life.</w:t>
      </w:r>
    </w:p>
    <w:p>
      <w:pPr>
        <w:numPr>
          <w:ilvl w:val="0"/>
          <w:numId w:val="1004"/>
        </w:numPr>
        <w:pStyle w:val="Compact"/>
      </w:pPr>
      <w:r>
        <w:rPr>
          <w:bCs/>
          <w:b/>
        </w:rPr>
        <w:t xml:space="preserve">End-of-Life (EoL):</w:t>
      </w:r>
      <w:r>
        <w:t xml:space="preserve"> </w:t>
      </w:r>
      <w:r>
        <w:t xml:space="preserve">Disposal, recycling, or recovery processes at the end of the product\'s lifespan.</w:t>
      </w:r>
    </w:p>
    <w:bookmarkEnd w:id="23"/>
    <w:bookmarkStart w:id="29" w:name="data-collection-and-parameters"/>
    <w:p>
      <w:pPr>
        <w:pStyle w:val="Heading3"/>
      </w:pPr>
      <w:r>
        <w:t xml:space="preserve">2.2 Data Collection and Parameters</w:t>
      </w:r>
    </w:p>
    <w:p>
      <w:pPr>
        <w:pStyle w:val="FirstParagraph"/>
      </w:pPr>
      <w:r>
        <w:t xml:space="preserve">The following specific parameters were considered for data collection. It is important to note that for a precise calculation, these placeholder strings would need to be replaced with actual, quantifiable data.</w:t>
      </w:r>
    </w:p>
    <w:bookmarkStart w:id="24" w:name="detailed-bill-of-materials-bom"/>
    <w:p>
      <w:pPr>
        <w:pStyle w:val="Heading4"/>
      </w:pPr>
      <w:r>
        <w:t xml:space="preserve">Detailed Bill of Materials (BOM)</w:t>
      </w:r>
    </w:p>
    <w:p>
      <w:pPr>
        <w:pStyle w:val="FirstParagraph"/>
      </w:pPr>
      <w:r>
        <w:t xml:space="preserve">The provided Detailed Bill of Materials (BOM) is identified as:</w:t>
      </w:r>
      <w:r>
        <w:t xml:space="preserve"> </w:t>
      </w:r>
      <w:r>
        <w:rPr>
          <w:rStyle w:val="VerbatimChar"/>
        </w:rPr>
        <w:t xml:space="preserve">rjtwdlvm</w:t>
      </w:r>
      <w:r>
        <w:t xml:space="preserve">. The prompt states that BOM data follows the format: ID, Description, Category, Process, Qty, Unit, Emission Factor, Total Carbon. However, the input `rjtwdlvm` is a single, non-structured string. As such, it cannot be parsed into individual components for specific material impact calculations. For illustrative purposes, a conceptual BOM structure and how this data *would* be used are presented below.</w:t>
      </w:r>
    </w:p>
    <w:p>
      <w:pPr>
        <w:pStyle w:val="BodyText"/>
      </w:pPr>
      <w:r>
        <w:t xml:space="preserve">In a real analysis, a detailed BOM would be presented in a structured format as follows, with specific emission factors (e.g., from Ecoinvent or DEFRA databases) applied per unit quantity to calculate total carbon impact per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w:t>
            </w:r>
            <w:r>
              <w:rPr>
                <w:vertAlign w:val="subscript"/>
              </w:rPr>
              <w:t xml:space="preserve">2</w:t>
            </w:r>
            <w:r>
              <w:t xml:space="preserve">e/unit)</w:t>
            </w:r>
          </w:p>
        </w:tc>
        <w:tc>
          <w:tcPr/>
          <w:p>
            <w:pPr>
              <w:pStyle w:val="Compact"/>
              <w:jc w:val="left"/>
            </w:pPr>
            <w:r>
              <w:t xml:space="preserve">Total Carbon (kg CO</w:t>
            </w:r>
            <w:r>
              <w:rPr>
                <w:vertAlign w:val="subscript"/>
              </w:rPr>
              <w:t xml:space="preserve">2</w:t>
            </w:r>
            <w:r>
              <w:t xml:space="preserve">e)</w:t>
            </w:r>
          </w:p>
        </w:tc>
      </w:tr>
      <w:tr>
        <w:tc>
          <w:tcPr/>
          <w:p>
            <w:pPr>
              <w:pStyle w:val="Compact"/>
              <w:jc w:val="left"/>
            </w:pPr>
            <w:r>
              <w:rPr>
                <w:iCs/>
                <w:i/>
              </w:rPr>
              <w:t xml:space="preserve">Not Parsable</w:t>
            </w:r>
          </w:p>
        </w:tc>
        <w:tc>
          <w:tcPr/>
          <w:p>
            <w:pPr>
              <w:pStyle w:val="Compact"/>
              <w:jc w:val="left"/>
            </w:pPr>
            <w:r>
              <w:rPr>
                <w:iCs/>
                <w:i/>
              </w:rPr>
              <w:t xml:space="preserve">Represented by:</w:t>
            </w:r>
            <w:r>
              <w:t xml:space="preserve"> </w:t>
            </w:r>
            <w:r>
              <w:rPr>
                <w:rStyle w:val="VerbatimChar"/>
              </w:rPr>
              <w:t xml:space="preserve">rjtwdlvm</w:t>
            </w:r>
          </w:p>
        </w:tc>
        <w:tc>
          <w:tcPr/>
          <w:p>
            <w:pPr>
              <w:pStyle w:val="Compact"/>
              <w:jc w:val="left"/>
            </w:pPr>
            <w:r>
              <w:rPr>
                <w:iCs/>
                <w:i/>
              </w:rPr>
              <w:t xml:space="preserve">Not Parsable</w:t>
            </w:r>
          </w:p>
        </w:tc>
        <w:tc>
          <w:tcPr/>
          <w:p>
            <w:pPr>
              <w:pStyle w:val="Compact"/>
              <w:jc w:val="left"/>
            </w:pPr>
            <w:r>
              <w:rPr>
                <w:iCs/>
                <w:i/>
              </w:rPr>
              <w:t xml:space="preserve">Not Parsable</w:t>
            </w:r>
          </w:p>
        </w:tc>
        <w:tc>
          <w:tcPr/>
          <w:p>
            <w:pPr>
              <w:pStyle w:val="Compact"/>
              <w:jc w:val="left"/>
            </w:pPr>
            <w:r>
              <w:rPr>
                <w:iCs/>
                <w:i/>
              </w:rPr>
              <w:t xml:space="preserve">Not Parsable</w:t>
            </w:r>
          </w:p>
        </w:tc>
        <w:tc>
          <w:tcPr/>
          <w:p>
            <w:pPr>
              <w:pStyle w:val="Compact"/>
              <w:jc w:val="left"/>
            </w:pPr>
            <w:r>
              <w:rPr>
                <w:iCs/>
                <w:i/>
              </w:rPr>
              <w:t xml:space="preserve">Not Parsable</w:t>
            </w:r>
          </w:p>
        </w:tc>
        <w:tc>
          <w:tcPr/>
          <w:p>
            <w:pPr>
              <w:pStyle w:val="Compact"/>
              <w:jc w:val="left"/>
            </w:pPr>
            <w:r>
              <w:rPr>
                <w:iCs/>
                <w:i/>
              </w:rPr>
              <w:t xml:space="preserve">Not Parsable</w:t>
            </w:r>
          </w:p>
        </w:tc>
        <w:tc>
          <w:tcPr/>
          <w:p>
            <w:pPr>
              <w:pStyle w:val="Compact"/>
              <w:jc w:val="left"/>
            </w:pPr>
            <w:r>
              <w:rPr>
                <w:iCs/>
                <w:i/>
              </w:rPr>
              <w:t xml:space="preserve">Not Parsable</w:t>
            </w:r>
          </w:p>
        </w:tc>
      </w:tr>
      <w:tr>
        <w:tc>
          <w:tcPr/>
          <w:p>
            <w:pPr>
              <w:pStyle w:val="Compact"/>
              <w:jc w:val="left"/>
            </w:pPr>
            <w:r>
              <w:t xml:space="preserve">[Example 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[Example 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bl>
    <w:p>
      <w:pPr>
        <w:pStyle w:val="BodyText"/>
      </w:pPr>
      <w:r>
        <w:t xml:space="preserve">For this report, we acknowledge</w:t>
      </w:r>
      <w:r>
        <w:t xml:space="preserve"> </w:t>
      </w:r>
      <w:r>
        <w:rPr>
          <w:rStyle w:val="VerbatimChar"/>
        </w:rPr>
        <w:t xml:space="preserve">rjtwdlvm</w:t>
      </w:r>
      <w:r>
        <w:t xml:space="preserve"> </w:t>
      </w:r>
      <w:r>
        <w:t xml:space="preserve">as the placeholder for the entire detailed BOM data, and actual material emission impacts would necessitate its decomposition into the specified format with quantifiable values.</w:t>
      </w:r>
    </w:p>
    <w:bookmarkEnd w:id="24"/>
    <w:bookmarkStart w:id="25" w:name="logistics-data"/>
    <w:p>
      <w:pPr>
        <w:pStyle w:val="Heading4"/>
      </w:pPr>
      <w:r>
        <w:t xml:space="preserve">Logistics Data</w:t>
      </w:r>
    </w:p>
    <w:p>
      <w:pPr>
        <w:numPr>
          <w:ilvl w:val="0"/>
          <w:numId w:val="1005"/>
        </w:numPr>
        <w:pStyle w:val="Compact"/>
      </w:pPr>
      <w:r>
        <w:rPr>
          <w:bCs/>
          <w:b/>
        </w:rPr>
        <w:t xml:space="preserve">Transport Mode (Supply Chain):</w:t>
      </w:r>
      <w:r>
        <w:t xml:space="preserve"> </w:t>
      </w:r>
      <w:r>
        <w:rPr>
          <w:rStyle w:val="VerbatimChar"/>
        </w:rPr>
        <w:t xml:space="preserve">Select Mode</w:t>
      </w:r>
      <w:r>
        <w:t xml:space="preserve"> </w:t>
      </w:r>
      <w:r>
        <w:t xml:space="preserve">(A specific mode like "Road Freight (HGV)" or "Ocean Freight" would be chosen for calculation)</w:t>
      </w:r>
    </w:p>
    <w:p>
      <w:pPr>
        <w:numPr>
          <w:ilvl w:val="0"/>
          <w:numId w:val="1005"/>
        </w:numPr>
        <w:pStyle w:val="Compact"/>
      </w:pPr>
      <w:r>
        <w:rPr>
          <w:bCs/>
          <w:b/>
        </w:rPr>
        <w:t xml:space="preserve">Transport Distance (Supply Chain):</w:t>
      </w:r>
      <w:r>
        <w:t xml:space="preserve"> </w:t>
      </w:r>
      <w:r>
        <w:rPr>
          <w:rStyle w:val="VerbatimChar"/>
        </w:rPr>
        <w:t xml:space="preserve">lkugixyxte</w:t>
      </w:r>
      <w:r>
        <w:t xml:space="preserve"> </w:t>
      </w:r>
      <w:r>
        <w:t xml:space="preserve">km</w:t>
      </w:r>
    </w:p>
    <w:p>
      <w:pPr>
        <w:numPr>
          <w:ilvl w:val="0"/>
          <w:numId w:val="1005"/>
        </w:numPr>
        <w:pStyle w:val="Compact"/>
      </w:pPr>
      <w:r>
        <w:rPr>
          <w:bCs/>
          <w:b/>
        </w:rPr>
        <w:t xml:space="preserve">Last-Mile Delivery Channel (Distribution):</w:t>
      </w:r>
      <w:r>
        <w:t xml:space="preserve"> </w:t>
      </w:r>
      <w:r>
        <w:rPr>
          <w:rStyle w:val="VerbatimChar"/>
        </w:rPr>
        <w:t xml:space="preserve">Delivery Type</w:t>
      </w:r>
    </w:p>
    <w:bookmarkEnd w:id="25"/>
    <w:bookmarkStart w:id="26" w:name="production-energy-data"/>
    <w:p>
      <w:pPr>
        <w:pStyle w:val="Heading4"/>
      </w:pPr>
      <w:r>
        <w:t xml:space="preserve">Production Energy Data</w:t>
      </w:r>
    </w:p>
    <w:p>
      <w:pPr>
        <w:numPr>
          <w:ilvl w:val="0"/>
          <w:numId w:val="1006"/>
        </w:numPr>
        <w:pStyle w:val="Compact"/>
      </w:pPr>
      <w:r>
        <w:rPr>
          <w:bCs/>
          <w:b/>
        </w:rPr>
        <w:t xml:space="preserve">Renewable Energy Usage (Percentage):</w:t>
      </w:r>
      <w:r>
        <w:t xml:space="preserve"> </w:t>
      </w:r>
      <w:r>
        <w:rPr>
          <w:rStyle w:val="VerbatimChar"/>
        </w:rPr>
        <w:t xml:space="preserve">dpjvdogmjr</w:t>
      </w:r>
      <w:r>
        <w:t xml:space="preserve"> </w:t>
      </w:r>
      <w:r>
        <w:t xml:space="preserve">%</w:t>
      </w:r>
    </w:p>
    <w:p>
      <w:pPr>
        <w:numPr>
          <w:ilvl w:val="0"/>
          <w:numId w:val="1006"/>
        </w:numPr>
        <w:pStyle w:val="Compact"/>
      </w:pPr>
      <w:r>
        <w:rPr>
          <w:bCs/>
          <w:b/>
        </w:rPr>
        <w:t xml:space="preserve">Energy Intensity (kWh/unit):</w:t>
      </w:r>
      <w:r>
        <w:t xml:space="preserve"> </w:t>
      </w:r>
      <w:r>
        <w:rPr>
          <w:rStyle w:val="VerbatimChar"/>
        </w:rPr>
        <w:t xml:space="preserve">vzzjjkdqxs</w:t>
      </w:r>
      <w:r>
        <w:t xml:space="preserve"> </w:t>
      </w:r>
      <w:r>
        <w:t xml:space="preserve">kWh/unit</w:t>
      </w:r>
    </w:p>
    <w:bookmarkEnd w:id="26"/>
    <w:bookmarkStart w:id="27" w:name="use-phase-data"/>
    <w:p>
      <w:pPr>
        <w:pStyle w:val="Heading4"/>
      </w:pPr>
      <w:r>
        <w:t xml:space="preserve">Use Phase Data</w:t>
      </w:r>
    </w:p>
    <w:p>
      <w:pPr>
        <w:numPr>
          <w:ilvl w:val="0"/>
          <w:numId w:val="1007"/>
        </w:numPr>
        <w:pStyle w:val="Compact"/>
      </w:pPr>
      <w:r>
        <w:rPr>
          <w:bCs/>
          <w:b/>
        </w:rPr>
        <w:t xml:space="preserve">Product Lifespan:</w:t>
      </w:r>
      <w:r>
        <w:t xml:space="preserve"> </w:t>
      </w:r>
      <w:r>
        <w:rPr>
          <w:rStyle w:val="VerbatimChar"/>
        </w:rPr>
        <w:t xml:space="preserve">nvqdgtyuek</w:t>
      </w:r>
      <w:r>
        <w:t xml:space="preserve"> </w:t>
      </w:r>
      <w:r>
        <w:t xml:space="preserve">years</w:t>
      </w:r>
    </w:p>
    <w:p>
      <w:pPr>
        <w:numPr>
          <w:ilvl w:val="0"/>
          <w:numId w:val="1007"/>
        </w:numPr>
        <w:pStyle w:val="Compact"/>
      </w:pPr>
      <w:r>
        <w:rPr>
          <w:bCs/>
          <w:b/>
        </w:rPr>
        <w:t xml:space="preserve">Energy Consumption in Use:</w:t>
      </w:r>
      <w:r>
        <w:t xml:space="preserve"> </w:t>
      </w:r>
      <w:r>
        <w:rPr>
          <w:rStyle w:val="VerbatimChar"/>
        </w:rPr>
        <w:t xml:space="preserve">qpoxtwksju</w:t>
      </w:r>
      <w:r>
        <w:t xml:space="preserve"> </w:t>
      </w:r>
      <w:r>
        <w:t xml:space="preserve">kWh/year</w:t>
      </w:r>
    </w:p>
    <w:bookmarkEnd w:id="27"/>
    <w:bookmarkStart w:id="28" w:name="end-of-life-eol-data"/>
    <w:p>
      <w:pPr>
        <w:pStyle w:val="Heading4"/>
      </w:pPr>
      <w:r>
        <w:t xml:space="preserve">End-of-Life (EoL) Data</w:t>
      </w:r>
    </w:p>
    <w:p>
      <w:pPr>
        <w:numPr>
          <w:ilvl w:val="0"/>
          <w:numId w:val="1008"/>
        </w:numPr>
        <w:pStyle w:val="Compact"/>
      </w:pPr>
      <w:r>
        <w:rPr>
          <w:bCs/>
          <w:b/>
        </w:rPr>
        <w:t xml:space="preserve">Recyclability Percentage:</w:t>
      </w:r>
      <w:r>
        <w:t xml:space="preserve"> </w:t>
      </w:r>
      <w:r>
        <w:rPr>
          <w:rStyle w:val="VerbatimChar"/>
        </w:rPr>
        <w:t xml:space="preserve">forjlqwmil</w:t>
      </w:r>
      <w:r>
        <w:t xml:space="preserve"> </w:t>
      </w:r>
      <w:r>
        <w:t xml:space="preserve">%</w:t>
      </w:r>
    </w:p>
    <w:p>
      <w:pPr>
        <w:numPr>
          <w:ilvl w:val="0"/>
          <w:numId w:val="1008"/>
        </w:numPr>
        <w:pStyle w:val="Compact"/>
      </w:pPr>
      <w:r>
        <w:rPr>
          <w:bCs/>
          <w:b/>
        </w:rPr>
        <w:t xml:space="preserve">Circular/Take-back Programs:</w:t>
      </w:r>
      <w:r>
        <w:t xml:space="preserve"> </w:t>
      </w:r>
      <w:r>
        <w:rPr>
          <w:rStyle w:val="VerbatimChar"/>
        </w:rPr>
        <w:t xml:space="preserve">xlkphmsvvx</w:t>
      </w:r>
      <w:r>
        <w:t xml:space="preserve"> </w:t>
      </w:r>
      <w:r>
        <w:t xml:space="preserve">(e.g., "Yes", "No", "Planned")</w:t>
      </w:r>
    </w:p>
    <w:bookmarkEnd w:id="28"/>
    <w:bookmarkEnd w:id="29"/>
    <w:bookmarkStart w:id="30" w:name="data-quality-and-sourcing"/>
    <w:p>
      <w:pPr>
        <w:pStyle w:val="Heading3"/>
      </w:pPr>
      <w:r>
        <w:t xml:space="preserve">2.3 Data Quality and Sourcing</w:t>
      </w:r>
    </w:p>
    <w:p>
      <w:pPr>
        <w:pStyle w:val="FirstParagraph"/>
      </w:pPr>
      <w:r>
        <w:t xml:space="preserve">In a rigorous PCF, primary data (direct measurements from operations, bills of lading, energy bills) is preferred for accuracy. Where primary data is unavailable, high-quality secondary data (industry averages, scientific literature, databases like Ecoinvent or DEFRA) are used. For this report, the provided parameters serve as placeholders to demonstrate the data points required.</w:t>
      </w:r>
    </w:p>
    <w:p>
      <w:r>
        <w:pict>
          <v:rect style="width:0;height:1.5pt" o:hralign="center" o:hrstd="t" o:hr="t"/>
        </w:pict>
      </w:r>
    </w:p>
    <w:bookmarkEnd w:id="30"/>
    <w:bookmarkEnd w:id="31"/>
    <w:bookmarkStart w:id="40" w:name="Xb404f6bea4a0013006ec7a9103609d9ea6643c1"/>
    <w:p>
      <w:pPr>
        <w:pStyle w:val="Heading2"/>
      </w:pPr>
      <w:r>
        <w:t xml:space="preserve">4. Calculate Emissions (Activity * Emission Factor = CO</w:t>
      </w:r>
      <w:r>
        <w:rPr>
          <w:vertAlign w:val="subscript"/>
        </w:rPr>
        <w:t xml:space="preserve">2</w:t>
      </w:r>
      <w:r>
        <w:t xml:space="preserve">e)</w:t>
      </w:r>
    </w:p>
    <w:p>
      <w:pPr>
        <w:pStyle w:val="FirstParagraph"/>
      </w:pPr>
      <w:r>
        <w:t xml:space="preserve">Emissions are calculated by multiplying activity data (e.g., kg of material, kWh of energy, km traveled) by relevant emission factors (e.g., kg CO</w:t>
      </w:r>
      <w:r>
        <w:rPr>
          <w:vertAlign w:val="subscript"/>
        </w:rPr>
        <w:t xml:space="preserve">2</w:t>
      </w:r>
      <w:r>
        <w:t xml:space="preserve">e/kg material, kg CO</w:t>
      </w:r>
      <w:r>
        <w:rPr>
          <w:vertAlign w:val="subscript"/>
        </w:rPr>
        <w:t xml:space="preserve">2</w:t>
      </w:r>
      <w:r>
        <w:t xml:space="preserve">e/kWh, kg CO</w:t>
      </w:r>
      <w:r>
        <w:rPr>
          <w:vertAlign w:val="subscript"/>
        </w:rPr>
        <w:t xml:space="preserve">2</w:t>
      </w:r>
      <w:r>
        <w:t xml:space="preserve">e/km). The results are expressed in kilograms of carbon dioxide equivalents (kg CO</w:t>
      </w:r>
      <w:r>
        <w:rPr>
          <w:vertAlign w:val="subscript"/>
        </w:rPr>
        <w:t xml:space="preserve">2</w:t>
      </w:r>
      <w:r>
        <w:t xml:space="preserve">e) to account for all greenhouse gases.</w:t>
      </w:r>
    </w:p>
    <w:bookmarkStart w:id="38" w:name="ghg-protocol-scopes-categorization"/>
    <w:p>
      <w:pPr>
        <w:pStyle w:val="Heading3"/>
      </w:pPr>
      <w:r>
        <w:t xml:space="preserve">4.1 GHG Protocol Scopes Categorization</w:t>
      </w:r>
    </w:p>
    <w:p>
      <w:pPr>
        <w:pStyle w:val="FirstParagraph"/>
      </w:pPr>
      <w:r>
        <w:t xml:space="preserve">Emissions are categorized according to the GHG Protocol into Scope 1 (direct), Scope 2 (purchased energy), and Scope 3 (value chain).</w:t>
      </w:r>
    </w:p>
    <w:bookmarkStart w:id="32" w:name="scope-1-emissions-direct-emissions"/>
    <w:p>
      <w:pPr>
        <w:pStyle w:val="Heading4"/>
      </w:pPr>
      <w:r>
        <w:t xml:space="preserve">Scope 1 Emissions (Direct Emissions)</w:t>
      </w:r>
    </w:p>
    <w:p>
      <w:pPr>
        <w:pStyle w:val="FirstParagraph"/>
      </w:pPr>
      <w:r>
        <w:t xml:space="preserve">These are direct GHG emissions from sources owned or controlled by uynjotjnvd within the factory_gate boundary. For this product, they would typically include emissions from:</w:t>
      </w:r>
    </w:p>
    <w:p>
      <w:pPr>
        <w:numPr>
          <w:ilvl w:val="0"/>
          <w:numId w:val="1009"/>
        </w:numPr>
        <w:pStyle w:val="Compact"/>
      </w:pPr>
      <w:r>
        <w:t xml:space="preserve">On-site combustion of fuels (e.g., natural gas for heating, fuel for company-owned vehicles on-site).</w:t>
      </w:r>
    </w:p>
    <w:p>
      <w:pPr>
        <w:numPr>
          <w:ilvl w:val="0"/>
          <w:numId w:val="1009"/>
        </w:numPr>
        <w:pStyle w:val="Compact"/>
      </w:pPr>
      <w:r>
        <w:t xml:space="preserve">Process emissions (e.g., from specific chemical reactions during manufacturing).</w:t>
      </w:r>
    </w:p>
    <w:p>
      <w:pPr>
        <w:numPr>
          <w:ilvl w:val="0"/>
          <w:numId w:val="1009"/>
        </w:numPr>
        <w:pStyle w:val="Compact"/>
      </w:pPr>
      <w:r>
        <w:t xml:space="preserve">Fugitive emissions (e.g., refrigerants from cooling systems).</w:t>
      </w:r>
    </w:p>
    <w:p>
      <w:pPr>
        <w:pStyle w:val="FirstParagraph"/>
      </w:pPr>
      <w:r>
        <w:t xml:space="preserve">Given the placeholder nature of the data, specific Scope 1 emissions from the production of risolduhqv cannot be quantified. In a real scenario, primary data from facility operations would be collected.</w:t>
      </w:r>
    </w:p>
    <w:bookmarkEnd w:id="32"/>
    <w:bookmarkStart w:id="33" w:name="scope-2-emissions-purchased-energy"/>
    <w:p>
      <w:pPr>
        <w:pStyle w:val="Heading4"/>
      </w:pPr>
      <w:r>
        <w:t xml:space="preserve">Scope 2 Emissions (Purchased Energy)</w:t>
      </w:r>
    </w:p>
    <w:p>
      <w:pPr>
        <w:pStyle w:val="FirstParagraph"/>
      </w:pPr>
      <w:r>
        <w:t xml:space="preserve">These are indirect GHG emissions from the generation of purchased electricity, steam, heat, or cooling consumed by uynjotjnvd in its manufacturing operations.</w:t>
      </w:r>
    </w:p>
    <w:p>
      <w:pPr>
        <w:pStyle w:val="BodyText"/>
      </w:pPr>
      <w:r>
        <w:t xml:space="preserve">For the manufacturing phase in China, the calculation would incorporate the provided data:</w:t>
      </w:r>
    </w:p>
    <w:p>
      <w:pPr>
        <w:numPr>
          <w:ilvl w:val="0"/>
          <w:numId w:val="1010"/>
        </w:numPr>
        <w:pStyle w:val="Compact"/>
      </w:pPr>
      <w:r>
        <w:rPr>
          <w:bCs/>
          <w:b/>
        </w:rPr>
        <w:t xml:space="preserve">Energy Intensity:</w:t>
      </w:r>
      <w:r>
        <w:t xml:space="preserve"> </w:t>
      </w:r>
      <w:r>
        <w:rPr>
          <w:rStyle w:val="VerbatimChar"/>
        </w:rPr>
        <w:t xml:space="preserve">vzzjjkdqxs</w:t>
      </w:r>
      <w:r>
        <w:t xml:space="preserve"> </w:t>
      </w:r>
      <w:r>
        <w:t xml:space="preserve">kWh/unit</w:t>
      </w:r>
    </w:p>
    <w:p>
      <w:pPr>
        <w:numPr>
          <w:ilvl w:val="0"/>
          <w:numId w:val="1010"/>
        </w:numPr>
        <w:pStyle w:val="Compact"/>
      </w:pPr>
      <w:r>
        <w:rPr>
          <w:bCs/>
          <w:b/>
        </w:rPr>
        <w:t xml:space="preserve">Renewable Energy Usage:</w:t>
      </w:r>
      <w:r>
        <w:t xml:space="preserve"> </w:t>
      </w:r>
      <w:r>
        <w:rPr>
          <w:rStyle w:val="VerbatimChar"/>
        </w:rPr>
        <w:t xml:space="preserve">dpjvdogmjr</w:t>
      </w:r>
      <w:r>
        <w:t xml:space="preserve"> </w:t>
      </w:r>
      <w:r>
        <w:t xml:space="preserve">%</w:t>
      </w:r>
    </w:p>
    <w:p>
      <w:pPr>
        <w:pStyle w:val="FirstParagraph"/>
      </w:pPr>
      <w:r>
        <w:t xml:space="preserve">A typical calculation would involve: (Energy Intensity * (1 - Renewable Energy Usage / 100)) * Grid Emission Factor + (Energy Intensity * (Renewable Energy Usage / 100)) * Renewable Energy Emission Factor. The grid emission factor for China would be sourced from a relevant database, while the renewable energy emission factor would be near zero or specific to the renewable source (e.g., hydropower, solar).</w:t>
      </w:r>
    </w:p>
    <w:bookmarkEnd w:id="33"/>
    <w:bookmarkStart w:id="36" w:name="scope-3-emissions-value-chain-emissions"/>
    <w:p>
      <w:pPr>
        <w:pStyle w:val="Heading4"/>
      </w:pPr>
      <w:r>
        <w:t xml:space="preserve">Scope 3 Emissions (Value Chain Emissions)</w:t>
      </w:r>
    </w:p>
    <w:p>
      <w:pPr>
        <w:pStyle w:val="FirstParagraph"/>
      </w:pPr>
      <w:r>
        <w:t xml:space="preserve">These are all other indirect GHG emissions that occur in the value chain of uynjotjnvd, both upstream and downstream, not included in Scope 1 or Scope 2. As per 2026 requirements, this report aims for at least 95% coverage for Scope 3 reporting.</w:t>
      </w:r>
    </w:p>
    <w:bookmarkStart w:id="34" w:name="Xf93c0c36bf0188ab8f6e9882534c19b3a2b4f15"/>
    <w:p>
      <w:pPr>
        <w:pStyle w:val="Heading5"/>
      </w:pPr>
      <w:r>
        <w:t xml:space="preserve">Upstream Scope 3 Emissions (within \'factory_gate\' boundary)</w:t>
      </w:r>
    </w:p>
    <w:p>
      <w:pPr>
        <w:numPr>
          <w:ilvl w:val="0"/>
          <w:numId w:val="1011"/>
        </w:numPr>
        <w:pStyle w:val="Compact"/>
      </w:pPr>
      <w:r>
        <w:rPr>
          <w:bCs/>
          <w:b/>
        </w:rPr>
        <w:t xml:space="preserve">Category 1: Purchased Goods and Services (Materials Impact):</w:t>
      </w:r>
      <w:r>
        <w:t xml:space="preserve"> </w:t>
      </w:r>
      <w:r>
        <w:t xml:space="preserve">Emissions from the extraction, production, and transportation of raw materials and components provided as</w:t>
      </w:r>
      <w:r>
        <w:t xml:space="preserve"> </w:t>
      </w:r>
      <w:r>
        <w:rPr>
          <w:rStyle w:val="VerbatimChar"/>
        </w:rPr>
        <w:t xml:space="preserve">rjtwdlvm</w:t>
      </w:r>
      <w:r>
        <w:t xml:space="preserve">. If `rjtwdlvm` were parsed, each material\'s quantity would be multiplied by its specific upstream emission factor (e.g., kg CO</w:t>
      </w:r>
      <w:r>
        <w:rPr>
          <w:vertAlign w:val="subscript"/>
        </w:rPr>
        <w:t xml:space="preserve">2</w:t>
      </w:r>
      <w:r>
        <w:t xml:space="preserve">e/kg for steel, plastic, etc.).</w:t>
      </w:r>
    </w:p>
    <w:p>
      <w:pPr>
        <w:numPr>
          <w:ilvl w:val="0"/>
          <w:numId w:val="1011"/>
        </w:numPr>
        <w:pStyle w:val="Compact"/>
      </w:pPr>
      <w:r>
        <w:rPr>
          <w:bCs/>
          <w:b/>
        </w:rPr>
        <w:t xml:space="preserve">Category 4: Upstream Transportation and Distribution:</w:t>
      </w:r>
      <w:r>
        <w:t xml:space="preserve"> </w:t>
      </w:r>
      <w:r>
        <w:t xml:space="preserve">Emissions from transporting raw materials and components from suppliers to the manufacturing facility in China. This would use the provided</w:t>
      </w:r>
      <w:r>
        <w:t xml:space="preserve"> </w:t>
      </w:r>
      <w:r>
        <w:rPr>
          <w:rStyle w:val="VerbatimChar"/>
        </w:rPr>
        <w:t xml:space="preserve">Select Mode</w:t>
      </w:r>
      <w:r>
        <w:t xml:space="preserve"> </w:t>
      </w:r>
      <w:r>
        <w:t xml:space="preserve">for transport and</w:t>
      </w:r>
      <w:r>
        <w:t xml:space="preserve"> </w:t>
      </w:r>
      <w:r>
        <w:rPr>
          <w:rStyle w:val="VerbatimChar"/>
        </w:rPr>
        <w:t xml:space="preserve">lkugixyxte</w:t>
      </w:r>
      <w:r>
        <w:t xml:space="preserve"> </w:t>
      </w:r>
      <w:r>
        <w:t xml:space="preserve">for distance, along with relevant emission factors for the chosen mode (e.g., kg CO</w:t>
      </w:r>
      <w:r>
        <w:rPr>
          <w:vertAlign w:val="subscript"/>
        </w:rPr>
        <w:t xml:space="preserve">2</w:t>
      </w:r>
      <w:r>
        <w:t xml:space="preserve">e/tonne-km).</w:t>
      </w:r>
    </w:p>
    <w:bookmarkEnd w:id="34"/>
    <w:bookmarkStart w:id="35" w:name="X506d7f5772091f7d24c6eb7d2668b27edfb4439"/>
    <w:p>
      <w:pPr>
        <w:pStyle w:val="Heading5"/>
      </w:pPr>
      <w:r>
        <w:t xml:space="preserve">Downstream Scope 3 Emissions (beyond \'factory_gate\' boundary, for holistic understanding)</w:t>
      </w:r>
    </w:p>
    <w:p>
      <w:pPr>
        <w:numPr>
          <w:ilvl w:val="0"/>
          <w:numId w:val="1012"/>
        </w:numPr>
        <w:pStyle w:val="Compact"/>
      </w:pPr>
      <w:r>
        <w:rPr>
          <w:bCs/>
          <w:b/>
        </w:rPr>
        <w:t xml:space="preserve">Category 9: Downstream Transportation and Distribution:</w:t>
      </w:r>
      <w:r>
        <w:t xml:space="preserve"> </w:t>
      </w:r>
      <w:r>
        <w:t xml:space="preserve">Emissions from transporting the finished product (risolduhqv) from the factory gate to the customer, incorporating the</w:t>
      </w:r>
      <w:r>
        <w:t xml:space="preserve"> </w:t>
      </w:r>
      <w:r>
        <w:rPr>
          <w:rStyle w:val="VerbatimChar"/>
        </w:rPr>
        <w:t xml:space="preserve">Delivery Type</w:t>
      </w:r>
      <w:r>
        <w:t xml:space="preserve"> </w:t>
      </w:r>
      <w:r>
        <w:t xml:space="preserve">for last-mile delivery.</w:t>
      </w:r>
    </w:p>
    <w:p>
      <w:pPr>
        <w:numPr>
          <w:ilvl w:val="0"/>
          <w:numId w:val="1012"/>
        </w:numPr>
        <w:pStyle w:val="Compact"/>
      </w:pPr>
      <w:r>
        <w:rPr>
          <w:bCs/>
          <w:b/>
        </w:rPr>
        <w:t xml:space="preserve">Category 11: Use of Sold Products:</w:t>
      </w:r>
      <w:r>
        <w:t xml:space="preserve"> </w:t>
      </w:r>
      <w:r>
        <w:t xml:space="preserve">Emissions from the energy consumed by the product during its operational life. The calculation would utilize:</w:t>
      </w:r>
    </w:p>
    <w:p>
      <w:pPr>
        <w:numPr>
          <w:ilvl w:val="1"/>
          <w:numId w:val="1013"/>
        </w:numPr>
        <w:pStyle w:val="Compact"/>
      </w:pPr>
      <w:r>
        <w:rPr>
          <w:bCs/>
          <w:b/>
        </w:rPr>
        <w:t xml:space="preserve">Product Lifespan:</w:t>
      </w:r>
      <w:r>
        <w:t xml:space="preserve"> </w:t>
      </w:r>
      <w:r>
        <w:rPr>
          <w:rStyle w:val="VerbatimChar"/>
        </w:rPr>
        <w:t xml:space="preserve">nvqdgtyuek</w:t>
      </w:r>
      <w:r>
        <w:t xml:space="preserve"> </w:t>
      </w:r>
      <w:r>
        <w:t xml:space="preserve">years</w:t>
      </w:r>
    </w:p>
    <w:p>
      <w:pPr>
        <w:numPr>
          <w:ilvl w:val="1"/>
          <w:numId w:val="1013"/>
        </w:numPr>
        <w:pStyle w:val="Compact"/>
      </w:pPr>
      <w:r>
        <w:rPr>
          <w:bCs/>
          <w:b/>
        </w:rPr>
        <w:t xml:space="preserve">Energy Consumption in Use:</w:t>
      </w:r>
      <w:r>
        <w:t xml:space="preserve"> </w:t>
      </w:r>
      <w:r>
        <w:rPr>
          <w:rStyle w:val="VerbatimChar"/>
        </w:rPr>
        <w:t xml:space="preserve">qpoxtwksju</w:t>
      </w:r>
      <w:r>
        <w:t xml:space="preserve"> </w:t>
      </w:r>
      <w:r>
        <w:t xml:space="preserve">kWh/year</w:t>
      </w:r>
    </w:p>
    <w:p>
      <w:pPr>
        <w:numPr>
          <w:ilvl w:val="0"/>
          <w:numId w:val="1000"/>
        </w:numPr>
        <w:pStyle w:val="Compact"/>
      </w:pPr>
      <w:r>
        <w:t xml:space="preserve">The 2026 GHG Protocol revisions propose a shift towards annualized emissions for the use phase, rather than recognizing 100% of lifetime emissions in the year of sale. This rewards product durability and reflects actual annual emissions. The calculation would be (Energy Consumption in Use * Grid Emission Factor) per year.</w:t>
      </w:r>
    </w:p>
    <w:p>
      <w:pPr>
        <w:numPr>
          <w:ilvl w:val="0"/>
          <w:numId w:val="1012"/>
        </w:numPr>
        <w:pStyle w:val="Compact"/>
      </w:pPr>
      <w:r>
        <w:rPr>
          <w:bCs/>
          <w:b/>
        </w:rPr>
        <w:t xml:space="preserve">Category 12: End-of-Life Treatment of Sold Products:</w:t>
      </w:r>
      <w:r>
        <w:t xml:space="preserve"> </w:t>
      </w:r>
      <w:r>
        <w:t xml:space="preserve">Emissions associated with the disposal, recycling, and treatment of the product at the end of its lifespan. This analysis would consider:</w:t>
      </w:r>
    </w:p>
    <w:p>
      <w:pPr>
        <w:numPr>
          <w:ilvl w:val="1"/>
          <w:numId w:val="1014"/>
        </w:numPr>
        <w:pStyle w:val="Compact"/>
      </w:pPr>
      <w:r>
        <w:rPr>
          <w:bCs/>
          <w:b/>
        </w:rPr>
        <w:t xml:space="preserve">Recyclability Percentage:</w:t>
      </w:r>
      <w:r>
        <w:t xml:space="preserve"> </w:t>
      </w:r>
      <w:r>
        <w:rPr>
          <w:rStyle w:val="VerbatimChar"/>
        </w:rPr>
        <w:t xml:space="preserve">forjlqwmil</w:t>
      </w:r>
      <w:r>
        <w:t xml:space="preserve"> </w:t>
      </w:r>
      <w:r>
        <w:t xml:space="preserve">%</w:t>
      </w:r>
    </w:p>
    <w:p>
      <w:pPr>
        <w:numPr>
          <w:ilvl w:val="1"/>
          <w:numId w:val="1014"/>
        </w:numPr>
        <w:pStyle w:val="Compact"/>
      </w:pPr>
      <w:r>
        <w:rPr>
          <w:bCs/>
          <w:b/>
        </w:rPr>
        <w:t xml:space="preserve">Circular/Take-back Programs:</w:t>
      </w:r>
      <w:r>
        <w:t xml:space="preserve"> </w:t>
      </w:r>
      <w:r>
        <w:rPr>
          <w:rStyle w:val="VerbatimChar"/>
        </w:rPr>
        <w:t xml:space="preserve">xlkphmsvvx</w:t>
      </w:r>
    </w:p>
    <w:p>
      <w:pPr>
        <w:numPr>
          <w:ilvl w:val="0"/>
          <w:numId w:val="1000"/>
        </w:numPr>
        <w:pStyle w:val="Compact"/>
      </w:pPr>
      <w:r>
        <w:t xml:space="preserve">The existence of circular/take-back programs and high recyclability percentages can significantly reduce EoL emissions by diverting waste from landfills and promoting material recovery.</w:t>
      </w:r>
    </w:p>
    <w:bookmarkEnd w:id="35"/>
    <w:bookmarkEnd w:id="36"/>
    <w:bookmarkStart w:id="37" w:name="ghg-protocol-updates-application"/>
    <w:p>
      <w:pPr>
        <w:pStyle w:val="Heading4"/>
      </w:pPr>
      <w:r>
        <w:t xml:space="preserve">2026 GHG Protocol Updates Application</w:t>
      </w:r>
    </w:p>
    <w:p>
      <w:pPr>
        <w:numPr>
          <w:ilvl w:val="0"/>
          <w:numId w:val="1015"/>
        </w:numPr>
        <w:pStyle w:val="Compact"/>
      </w:pPr>
      <w:r>
        <w:rPr>
          <w:bCs/>
          <w:b/>
        </w:rPr>
        <w:t xml:space="preserve">Land Sector and Removals (LSR) Standard:</w:t>
      </w:r>
      <w:r>
        <w:t xml:space="preserve"> </w:t>
      </w:r>
      <w:r>
        <w:t xml:space="preserve">The GHG Protocol released its Land Sector and Removals (LSR) Standard v1.0 on January 30, 2026, which is set to take effect on January 1, 2027. This standard provides accounting requirements for land-based GHG emissions and carbon dioxide removals, as well as technological CO2 removals. While the full guidance is expected in Q2 2026, for a real PCF, any land-use related impacts of raw materials (e.g., agriculture, forestry) or carbon removals associated with the product would be assessed and reported in alignment with this new standard.</w:t>
      </w:r>
    </w:p>
    <w:p>
      <w:pPr>
        <w:numPr>
          <w:ilvl w:val="0"/>
          <w:numId w:val="1015"/>
        </w:numPr>
        <w:pStyle w:val="Compact"/>
      </w:pPr>
      <w:r>
        <w:rPr>
          <w:bCs/>
          <w:b/>
        </w:rPr>
        <w:t xml:space="preserve">Scope 3 Compliance (95% Coverage):</w:t>
      </w:r>
      <w:r>
        <w:t xml:space="preserve"> </w:t>
      </w:r>
      <w:r>
        <w:t xml:space="preserve">As per the proposed 2026 revisions, companies must report at least 95% of total required Scope 3 emissions to claim conformance with the standard. This emphasizes the need for comprehensive data collection and robust methodologies to ensure no significant emission sources are excluded. The updates also propose requiring disaggregation of Scope 3 emissions data by data type for increased transparency and reliability.</w:t>
      </w:r>
    </w:p>
    <w:bookmarkEnd w:id="37"/>
    <w:bookmarkEnd w:id="38"/>
    <w:bookmarkStart w:id="39" w:name="emission-factors"/>
    <w:p>
      <w:pPr>
        <w:pStyle w:val="Heading3"/>
      </w:pPr>
      <w:r>
        <w:t xml:space="preserve">4.2 Emission Factors</w:t>
      </w:r>
    </w:p>
    <w:p>
      <w:pPr>
        <w:pStyle w:val="FirstParagraph"/>
      </w:pPr>
      <w:r>
        <w:t xml:space="preserve">Industry-standard emission factors would be sourced from reputable databases such as Ecoinvent or DEFRA.</w:t>
      </w:r>
    </w:p>
    <w:p>
      <w:pPr>
        <w:numPr>
          <w:ilvl w:val="0"/>
          <w:numId w:val="1016"/>
        </w:numPr>
        <w:pStyle w:val="Compact"/>
      </w:pPr>
      <w:r>
        <w:rPr>
          <w:bCs/>
          <w:b/>
        </w:rPr>
        <w:t xml:space="preserve">Ecoinvent:</w:t>
      </w:r>
      <w:r>
        <w:t xml:space="preserve"> </w:t>
      </w:r>
      <w:r>
        <w:t xml:space="preserve">A comprehensive life cycle inventory database providing regional or global average GHG emission factors, and data for various activities, processes, and products. It\'s widely used for detailed LCA studies.</w:t>
      </w:r>
    </w:p>
    <w:p>
      <w:pPr>
        <w:numPr>
          <w:ilvl w:val="0"/>
          <w:numId w:val="1016"/>
        </w:numPr>
        <w:pStyle w:val="Compact"/>
      </w:pPr>
      <w:r>
        <w:rPr>
          <w:bCs/>
          <w:b/>
        </w:rPr>
        <w:t xml:space="preserve">DEFRA (Department for Environment, Food &amp; Rural Affairs):</w:t>
      </w:r>
      <w:r>
        <w:t xml:space="preserve"> </w:t>
      </w:r>
      <w:r>
        <w:t xml:space="preserve">The UK government\'s official carbon conversion values, updated annually, covering Scope 1, 2, and some Scope 3 emission sources. While primarily UK-focused, some factors, like air travel, are globally applicable.</w:t>
      </w:r>
    </w:p>
    <w:p>
      <w:pPr>
        <w:pStyle w:val="FirstParagraph"/>
      </w:pPr>
      <w:r>
        <w:t xml:space="preserve">For this report, as the input parameters are placeholders, numerical emission factors cannot be applied to yield a quantitative result. In a real-world application, specific factors relevant to the geographic scope (China for production, Europe for supply chain) and material/energy types would be selected.</w:t>
      </w:r>
    </w:p>
    <w:p>
      <w:r>
        <w:pict>
          <v:rect style="width:0;height:1.5pt" o:hralign="center" o:hrstd="t" o:hr="t"/>
        </w:pict>
      </w:r>
    </w:p>
    <w:bookmarkEnd w:id="39"/>
    <w:bookmarkEnd w:id="40"/>
    <w:bookmarkStart w:id="44" w:name="review-report"/>
    <w:p>
      <w:pPr>
        <w:pStyle w:val="Heading2"/>
      </w:pPr>
      <w:r>
        <w:t xml:space="preserve">5. Review &amp; Report</w:t>
      </w:r>
    </w:p>
    <w:p>
      <w:pPr>
        <w:pStyle w:val="FirstParagraph"/>
      </w:pPr>
      <w:r>
        <w:t xml:space="preserve">The final stage involves reviewing the results, identifying emission hotspots, assessing data reliability, and presenting the findings.</w:t>
      </w:r>
    </w:p>
    <w:bookmarkStart w:id="41" w:name="hotspot-identification"/>
    <w:p>
      <w:pPr>
        <w:pStyle w:val="Heading3"/>
      </w:pPr>
      <w:r>
        <w:t xml:space="preserve">5.1 Hotspot Identification</w:t>
      </w:r>
    </w:p>
    <w:p>
      <w:pPr>
        <w:pStyle w:val="FirstParagraph"/>
      </w:pPr>
      <w:r>
        <w:t xml:space="preserve">Once calculations are performed, the analysis would pinpoint stages or components of the product lifecycle that contribute most significantly to the overall carbon footprint. Based on the general understanding of product lifecycles and the provided parameters:</w:t>
      </w:r>
    </w:p>
    <w:p>
      <w:pPr>
        <w:numPr>
          <w:ilvl w:val="0"/>
          <w:numId w:val="1017"/>
        </w:numPr>
        <w:pStyle w:val="Compact"/>
      </w:pPr>
      <w:r>
        <w:rPr>
          <w:bCs/>
          <w:b/>
        </w:rPr>
        <w:t xml:space="preserve">Materials:</w:t>
      </w:r>
      <w:r>
        <w:t xml:space="preserve"> </w:t>
      </w:r>
      <w:r>
        <w:t xml:space="preserve">Given the significance of raw material extraction and processing, this is often a major hotspot (tied to the parsed `rjtwdlvm`).</w:t>
      </w:r>
    </w:p>
    <w:p>
      <w:pPr>
        <w:numPr>
          <w:ilvl w:val="0"/>
          <w:numId w:val="1017"/>
        </w:numPr>
        <w:pStyle w:val="Compact"/>
      </w:pPr>
      <w:r>
        <w:rPr>
          <w:bCs/>
          <w:b/>
        </w:rPr>
        <w:t xml:space="preserve">Manufacturing Energy:</w:t>
      </w:r>
      <w:r>
        <w:t xml:space="preserve"> </w:t>
      </w:r>
      <w:r>
        <w:t xml:space="preserve">The energy intensity (`vzzjjkdqxs`) and the mix of renewable (`dpjvdogmjr`) vs. grid energy in China would determine this impact.</w:t>
      </w:r>
    </w:p>
    <w:p>
      <w:pPr>
        <w:numPr>
          <w:ilvl w:val="0"/>
          <w:numId w:val="1017"/>
        </w:numPr>
        <w:pStyle w:val="Compact"/>
      </w:pPr>
      <w:r>
        <w:rPr>
          <w:bCs/>
          <w:b/>
        </w:rPr>
        <w:t xml:space="preserve">Transportation:</w:t>
      </w:r>
      <w:r>
        <w:t xml:space="preserve"> </w:t>
      </w:r>
      <w:r>
        <w:t xml:space="preserve">The `lkugixyxte` distance and `Select Mode` for supply chain, as well as `Delivery Type` for last-mile, could be significant depending on their carbon intensity.</w:t>
      </w:r>
    </w:p>
    <w:p>
      <w:pPr>
        <w:numPr>
          <w:ilvl w:val="0"/>
          <w:numId w:val="1017"/>
        </w:numPr>
        <w:pStyle w:val="Compact"/>
      </w:pPr>
      <w:r>
        <w:rPr>
          <w:bCs/>
          <w:b/>
        </w:rPr>
        <w:t xml:space="preserve">Use Phase:</w:t>
      </w:r>
      <w:r>
        <w:t xml:space="preserve"> </w:t>
      </w:r>
      <w:r>
        <w:t xml:space="preserve">For products with high energy consumption during their `nvqdgtyuek` lifespan, the `qpoxtwksju` energy in use can be a dominant hotspot.</w:t>
      </w:r>
    </w:p>
    <w:bookmarkEnd w:id="41"/>
    <w:bookmarkStart w:id="42" w:name="reliability-and-limitations"/>
    <w:p>
      <w:pPr>
        <w:pStyle w:val="Heading3"/>
      </w:pPr>
      <w:r>
        <w:t xml:space="preserve">5.2 Reliability and Limitations</w:t>
      </w:r>
    </w:p>
    <w:p>
      <w:pPr>
        <w:pStyle w:val="FirstParagraph"/>
      </w:pPr>
      <w:r>
        <w:t xml:space="preserve">The reliability of this PCF analysis, were it to involve real data, would depend heavily on the quality and specificity of the primary data collected. Using placeholder data for this report means specific numerical results cannot be provided. However, the methodology adheres to GHG Protocol principles to ensure a robust framework for future quantification.</w:t>
      </w:r>
    </w:p>
    <w:p>
      <w:pPr>
        <w:numPr>
          <w:ilvl w:val="0"/>
          <w:numId w:val="1018"/>
        </w:numPr>
        <w:pStyle w:val="Compact"/>
      </w:pPr>
      <w:r>
        <w:rPr>
          <w:bCs/>
          <w:b/>
        </w:rPr>
        <w:t xml:space="preserve">Data Specificity:</w:t>
      </w:r>
      <w:r>
        <w:t xml:space="preserve"> </w:t>
      </w:r>
      <w:r>
        <w:t xml:space="preserve">Reliance on secondary (average) data where primary data is unavailable introduces uncertainty.</w:t>
      </w:r>
    </w:p>
    <w:p>
      <w:pPr>
        <w:numPr>
          <w:ilvl w:val="0"/>
          <w:numId w:val="1018"/>
        </w:numPr>
        <w:pStyle w:val="Compact"/>
      </w:pPr>
      <w:r>
        <w:rPr>
          <w:bCs/>
          <w:b/>
        </w:rPr>
        <w:t xml:space="preserve">System Boundary:</w:t>
      </w:r>
      <w:r>
        <w:t xml:space="preserve"> </w:t>
      </w:r>
      <w:r>
        <w:t xml:space="preserve">The \'factory_gate\' boundary limits the scope of direct calculation, though downstream impacts are acknowledged for completeness.</w:t>
      </w:r>
    </w:p>
    <w:p>
      <w:pPr>
        <w:numPr>
          <w:ilvl w:val="0"/>
          <w:numId w:val="1018"/>
        </w:numPr>
        <w:pStyle w:val="Compact"/>
      </w:pPr>
      <w:r>
        <w:rPr>
          <w:bCs/>
          <w:b/>
        </w:rPr>
        <w:t xml:space="preserve">Placeholder Data:</w:t>
      </w:r>
      <w:r>
        <w:t xml:space="preserve"> </w:t>
      </w:r>
      <w:r>
        <w:t xml:space="preserve">The use of generic placeholder strings for key parameters (e.g., BOM, distances, energy values) prevents a precise quantitative outcome in this report. Actual values are critical for actionable insights.</w:t>
      </w:r>
    </w:p>
    <w:bookmarkEnd w:id="42"/>
    <w:bookmarkStart w:id="43" w:name="recommendations"/>
    <w:p>
      <w:pPr>
        <w:pStyle w:val="Heading3"/>
      </w:pPr>
      <w:r>
        <w:t xml:space="preserve">5.3 Recommendations</w:t>
      </w:r>
    </w:p>
    <w:p>
      <w:pPr>
        <w:pStyle w:val="FirstParagraph"/>
      </w:pPr>
      <w:r>
        <w:t xml:space="preserve">Based on this structured PCF analysis framework,</w:t>
      </w:r>
      <w:r>
        <w:t xml:space="preserve"> </w:t>
      </w:r>
      <w:r>
        <w:rPr>
          <w:bCs/>
          <w:b/>
        </w:rPr>
        <w:t xml:space="preserve">uynjotjnvd</w:t>
      </w:r>
      <w:r>
        <w:t xml:space="preserve"> </w:t>
      </w:r>
      <w:r>
        <w:t xml:space="preserve">should consider the following steps to enhance its understanding and reduction of the</w:t>
      </w:r>
      <w:r>
        <w:t xml:space="preserve"> </w:t>
      </w:r>
      <w:r>
        <w:rPr>
          <w:bCs/>
          <w:b/>
        </w:rPr>
        <w:t xml:space="preserve">risolduhqv</w:t>
      </w:r>
      <w:r>
        <w:t xml:space="preserve"> </w:t>
      </w:r>
      <w:r>
        <w:t xml:space="preserve">carbon footprint:</w:t>
      </w:r>
    </w:p>
    <w:p>
      <w:pPr>
        <w:numPr>
          <w:ilvl w:val="0"/>
          <w:numId w:val="1019"/>
        </w:numPr>
        <w:pStyle w:val="Compact"/>
      </w:pPr>
      <w:r>
        <w:rPr>
          <w:bCs/>
          <w:b/>
        </w:rPr>
        <w:t xml:space="preserve">Data Refinement:</w:t>
      </w:r>
      <w:r>
        <w:t xml:space="preserve"> </w:t>
      </w:r>
      <w:r>
        <w:t xml:space="preserve">Prioritize collecting specific, primary data for the detailed Bill of Materials, actual transport modes and distances, and precise energy consumption data at the Chinese manufacturing facility.</w:t>
      </w:r>
    </w:p>
    <w:p>
      <w:pPr>
        <w:numPr>
          <w:ilvl w:val="0"/>
          <w:numId w:val="1019"/>
        </w:numPr>
        <w:pStyle w:val="Compact"/>
      </w:pPr>
      <w:r>
        <w:rPr>
          <w:bCs/>
          <w:b/>
        </w:rPr>
        <w:t xml:space="preserve">Supply Chain Engagement:</w:t>
      </w:r>
      <w:r>
        <w:t xml:space="preserve"> </w:t>
      </w:r>
      <w:r>
        <w:t xml:space="preserve">Work with European suppliers to gather more granular emissions data for materials and components, and explore lower-carbon transport options.</w:t>
      </w:r>
    </w:p>
    <w:p>
      <w:pPr>
        <w:numPr>
          <w:ilvl w:val="0"/>
          <w:numId w:val="1019"/>
        </w:numPr>
        <w:pStyle w:val="Compact"/>
      </w:pPr>
      <w:r>
        <w:rPr>
          <w:bCs/>
          <w:b/>
        </w:rPr>
        <w:t xml:space="preserve">Design for Circularity:</w:t>
      </w:r>
      <w:r>
        <w:t xml:space="preserve"> </w:t>
      </w:r>
      <w:r>
        <w:t xml:space="preserve">Leverage the provided `forjlqwmil` recyclability percentage and `xlkphmsvvx` circular programs to further reduce End-of-Life impacts. Investigate increasing recycled content in materials.</w:t>
      </w:r>
    </w:p>
    <w:p>
      <w:pPr>
        <w:numPr>
          <w:ilvl w:val="0"/>
          <w:numId w:val="1019"/>
        </w:numPr>
        <w:pStyle w:val="Compact"/>
      </w:pPr>
      <w:r>
        <w:rPr>
          <w:bCs/>
          <w:b/>
        </w:rPr>
        <w:t xml:space="preserve">Renewable Energy Transition:</w:t>
      </w:r>
      <w:r>
        <w:t xml:space="preserve"> </w:t>
      </w:r>
      <w:r>
        <w:t xml:space="preserve">Continue to increase the percentage of renewable energy usage (`dpjvdogmjr`) at the manufacturing site and across the supply chain.</w:t>
      </w:r>
    </w:p>
    <w:p>
      <w:pPr>
        <w:numPr>
          <w:ilvl w:val="0"/>
          <w:numId w:val="1019"/>
        </w:numPr>
        <w:pStyle w:val="Compact"/>
      </w:pPr>
      <w:r>
        <w:rPr>
          <w:bCs/>
          <w:b/>
        </w:rPr>
        <w:t xml:space="preserve">Product Optimization:</w:t>
      </w:r>
      <w:r>
        <w:t xml:space="preserve"> </w:t>
      </w:r>
      <w:r>
        <w:t xml:space="preserve">Explore design changes to reduce material intensity and improve energy efficiency during the `nvqdgtyuek` lifespan, minimizing `qpoxtwksju` energy consumption in use.</w:t>
      </w:r>
    </w:p>
    <w:p>
      <w:pPr>
        <w:numPr>
          <w:ilvl w:val="0"/>
          <w:numId w:val="1019"/>
        </w:numPr>
        <w:pStyle w:val="Compact"/>
      </w:pPr>
      <w:r>
        <w:rPr>
          <w:bCs/>
          <w:b/>
        </w:rPr>
        <w:t xml:space="preserve">LSR Standard Preparation:</w:t>
      </w:r>
      <w:r>
        <w:t xml:space="preserve"> </w:t>
      </w:r>
      <w:r>
        <w:t xml:space="preserve">If applicable, begin assessing the impacts of the GHG Protocol LSR Standard on raw material sourcing and any land-based activities within the value chain in preparation for its effective date of January 1, 2027.</w:t>
      </w:r>
    </w:p>
    <w:p>
      <w:pPr>
        <w:numPr>
          <w:ilvl w:val="0"/>
          <w:numId w:val="1019"/>
        </w:numPr>
        <w:pStyle w:val="Compact"/>
      </w:pPr>
      <w:r>
        <w:rPr>
          <w:bCs/>
          <w:b/>
        </w:rPr>
        <w:t xml:space="preserve">Continuous Monitoring:</w:t>
      </w:r>
      <w:r>
        <w:t xml:space="preserve"> </w:t>
      </w:r>
      <w:r>
        <w:t xml:space="preserve">Implement systems for ongoing data collection and regular PCF updates to track progress against reduction targets.</w:t>
      </w:r>
    </w:p>
    <w:p>
      <w:pPr>
        <w:pStyle w:val="FirstParagraph"/>
      </w:pPr>
      <w:r>
        <w:t xml:space="preserve">Confidential - Internal Use Only | Page 1 of X</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risolduhqv</dc:title>
  <dc:creator/>
  <dc:description>Detailed Product Carbon Footprint (PCF) analysis report for risolduhqv, following GHG Protocol standards and 2026 updates, prepared by Senior Sustainability Consultant xnlrnuwmkl for uynjotjnvd.</dc:description>
  <dc:language>en</dc:language>
  <cp:keywords/>
  <dcterms:created xsi:type="dcterms:W3CDTF">2026-05-30T16:45:03Z</dcterms:created>
  <dcterms:modified xsi:type="dcterms:W3CDTF">2026-05-30T16:45:03Z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