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riidrrlhom</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Name: riidrrlhom</w:t>
      </w:r>
    </w:p>
    <w:p>
      <w:pPr>
        <w:pStyle w:val="BodyText"/>
      </w:pPr>
      <w:r>
        <w:t xml:space="preserve">Company Name: fioixgpgfv</w:t>
      </w:r>
    </w:p>
    <w:p>
      <w:pPr>
        <w:pStyle w:val="BodyText"/>
      </w:pPr>
      <w:r>
        <w:t xml:space="preserve">Senior Sustainability Consultant: zgprexynvx</w:t>
      </w:r>
    </w:p>
    <w:p>
      <w:pPr>
        <w:pStyle w:val="BodyText"/>
      </w:pPr>
      <w:r>
        <w:t xml:space="preserve">Accounting Standard: GHG Protocol</w:t>
      </w:r>
    </w:p>
    <w:p>
      <w:pPr>
        <w:pStyle w:val="BodyText"/>
      </w:pPr>
      <w:r>
        <w:t xml:space="preserve">This report is generated based on available data and industry standards, providing an estimate of the product\'s carbon footprint. Accuracy is dependent on the completeness and precision of input data.</w:t>
      </w:r>
    </w:p>
    <w:bookmarkEnd w:id="20"/>
    <w:p>
      <w:pPr>
        <w:pStyle w:val="BodyText"/>
      </w:pPr>
      <w:r>
        <w:t xml:space="preserve">Product Carbon Footprint (PCF) Analysis for riidrrlhom | Generated Date: June 4, 2026</w:t>
      </w:r>
    </w:p>
    <w:bookmarkStart w:id="21"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riidrrlhom</w:t>
      </w:r>
      <w:r>
        <w:t xml:space="preserve">, manufactured by</w:t>
      </w:r>
      <w:r>
        <w:t xml:space="preserve"> </w:t>
      </w:r>
      <w:r>
        <w:rPr>
          <w:bCs/>
          <w:b/>
        </w:rPr>
        <w:t xml:space="preserve">fioixgpgfv</w:t>
      </w:r>
      <w:r>
        <w:t xml:space="preserve">. The analysis adheres strictly to the Greenhouse Gas (GHG) Protocol standards, categorizing emissions into Scope 1, Scope 2, and Scope 3 across the entire product lifecycle. The 2026 Land Sector and Removals (LSR) Standard update is acknowledged and considered for land-related impacts where applicable data would allow. Our objective is to identify key carbon hotspots and provide a robust, transparent assessment of the product\'s environmental impact from raw material acquisition to end-of-life, with a specific focus on achieving at least 95% coverage for Scope 3 emissions. This analysis provides</w:t>
      </w:r>
      <w:r>
        <w:t xml:space="preserve"> </w:t>
      </w:r>
      <w:r>
        <w:rPr>
          <w:bCs/>
          <w:b/>
        </w:rPr>
        <w:t xml:space="preserve">fioixgpgfv</w:t>
      </w:r>
      <w:r>
        <w:t xml:space="preserve"> </w:t>
      </w:r>
      <w:r>
        <w:t xml:space="preserve">with critical insights for informed decision-making and sustainable strategy development.</w:t>
      </w:r>
    </w:p>
    <w:p>
      <w:r>
        <w:pict>
          <v:rect style="width:0;height:1.5pt" o:hralign="center" o:hrstd="t" o:hr="t"/>
        </w:pict>
      </w:r>
    </w:p>
    <w:bookmarkEnd w:id="21"/>
    <w:bookmarkStart w:id="25" w:name="methodology"/>
    <w:p>
      <w:pPr>
        <w:pStyle w:val="Heading1"/>
      </w:pPr>
      <w:r>
        <w:t xml:space="preserve">2. Methodology</w:t>
      </w:r>
    </w:p>
    <w:p>
      <w:pPr>
        <w:pStyle w:val="FirstParagraph"/>
      </w:pPr>
      <w:r>
        <w:t xml:space="preserve">The Product Carbon Footprint (PCF) analysis for</w:t>
      </w:r>
      <w:r>
        <w:t xml:space="preserve"> </w:t>
      </w:r>
      <w:r>
        <w:rPr>
          <w:bCs/>
          <w:b/>
        </w:rPr>
        <w:t xml:space="preserve">riidrrlhom</w:t>
      </w:r>
      <w:r>
        <w:t xml:space="preserve"> </w:t>
      </w:r>
      <w:r>
        <w:t xml:space="preserve">follows the five-step methodology as outlined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methods.</w:t>
      </w:r>
    </w:p>
    <w:p>
      <w:pPr>
        <w:numPr>
          <w:ilvl w:val="0"/>
          <w:numId w:val="1001"/>
        </w:numPr>
        <w:pStyle w:val="Compact"/>
      </w:pPr>
      <w:r>
        <w:rPr>
          <w:bCs/>
          <w:b/>
        </w:rPr>
        <w:t xml:space="preserve">Map Lifecycle (LCI Inventory Stages):</w:t>
      </w:r>
      <w:r>
        <w:t xml:space="preserve"> </w:t>
      </w:r>
      <w:r>
        <w:t xml:space="preserve">Identify all relevant lifecycle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waste.</w:t>
      </w:r>
    </w:p>
    <w:p>
      <w:pPr>
        <w:numPr>
          <w:ilvl w:val="0"/>
          <w:numId w:val="1001"/>
        </w:numPr>
        <w:pStyle w:val="Compact"/>
      </w:pPr>
      <w:r>
        <w:rPr>
          <w:bCs/>
          <w:b/>
        </w:rPr>
        <w:t xml:space="preserve">Calculate Emissions:</w:t>
      </w:r>
      <w:r>
        <w:t xml:space="preserve"> </w:t>
      </w:r>
      <w:r>
        <w:t xml:space="preserve">Quantify greenhouse gas emissions (CO2e) for each activity using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accounting-standard-and-compliance"/>
    <w:p>
      <w:pPr>
        <w:pStyle w:val="Heading2"/>
      </w:pPr>
      <w:r>
        <w:t xml:space="preserve">2.1. Accounting Standard and Compliance</w:t>
      </w:r>
    </w:p>
    <w:p>
      <w:pPr>
        <w:pStyle w:val="FirstParagraph"/>
      </w:pPr>
      <w:r>
        <w:t xml:space="preserve">This PCF analysis is conducted in full accordance with the</w:t>
      </w:r>
      <w:r>
        <w:t xml:space="preserve"> </w:t>
      </w:r>
      <w:r>
        <w:rPr>
          <w:bCs/>
          <w:b/>
        </w:rPr>
        <w:t xml:space="preserve">GHG Protocol</w:t>
      </w:r>
      <w:r>
        <w:t xml:space="preserve">, the internationally recognized standard for greenhouse gas accounting. Emissions are categorized as follows:</w:t>
      </w:r>
    </w:p>
    <w:p>
      <w:pPr>
        <w:numPr>
          <w:ilvl w:val="0"/>
          <w:numId w:val="1002"/>
        </w:numPr>
        <w:pStyle w:val="Compact"/>
      </w:pPr>
      <w:r>
        <w:rPr>
          <w:bCs/>
          <w:b/>
        </w:rPr>
        <w:t xml:space="preserve">Scope 1:</w:t>
      </w:r>
      <w:r>
        <w:t xml:space="preserve"> </w:t>
      </w:r>
      <w:r>
        <w:t xml:space="preserve">Direct GHG emissions from sources owned or controlled by</w:t>
      </w:r>
      <w:r>
        <w:t xml:space="preserve"> </w:t>
      </w:r>
      <w:r>
        <w:rPr>
          <w:bCs/>
          <w:b/>
        </w:rPr>
        <w:t xml:space="preserve">fioixgpgfv</w:t>
      </w:r>
      <w:r>
        <w:t xml:space="preserve"> </w:t>
      </w:r>
      <w:r>
        <w:t xml:space="preserve">(e.g., manufacturing processes directly at the factory).</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w:t>
      </w:r>
      <w:r>
        <w:t xml:space="preserve"> </w:t>
      </w:r>
      <w:r>
        <w:rPr>
          <w:bCs/>
          <w:b/>
        </w:rPr>
        <w:t xml:space="preserve">fioixgpgfv</w:t>
      </w:r>
      <w:r>
        <w:t xml:space="preserve">.</w:t>
      </w:r>
    </w:p>
    <w:p>
      <w:pPr>
        <w:numPr>
          <w:ilvl w:val="0"/>
          <w:numId w:val="1002"/>
        </w:numPr>
        <w:pStyle w:val="Compact"/>
      </w:pPr>
      <w:r>
        <w:rPr>
          <w:bCs/>
          <w:b/>
        </w:rPr>
        <w:t xml:space="preserve">Scope 3:</w:t>
      </w:r>
      <w:r>
        <w:t xml:space="preserve"> </w:t>
      </w:r>
      <w:r>
        <w:t xml:space="preserve">All other indirect emissions occurring in the value chain, both upstream and downstream, which are a consequence of</w:t>
      </w:r>
      <w:r>
        <w:t xml:space="preserve"> </w:t>
      </w:r>
      <w:r>
        <w:rPr>
          <w:bCs/>
          <w:b/>
        </w:rPr>
        <w:t xml:space="preserve">fioixgpgfv</w:t>
      </w:r>
      <w:r>
        <w:t xml:space="preserve">\'s activities but occur from sources not owned or controlled by the company.</w:t>
      </w:r>
    </w:p>
    <w:p>
      <w:pPr>
        <w:pStyle w:val="FirstParagraph"/>
      </w:pPr>
      <w:r>
        <w:t xml:space="preserve">A particular emphasis has been placed on</w:t>
      </w:r>
      <w:r>
        <w:t xml:space="preserve"> </w:t>
      </w:r>
      <w:r>
        <w:rPr>
          <w:bCs/>
          <w:b/>
        </w:rPr>
        <w:t xml:space="preserve">2026 Scope 3 Compliance</w:t>
      </w:r>
      <w:r>
        <w:t xml:space="preserve">, aiming for at least 95% coverage of all relevant Scope 3 emissions categories as per current reporting requirements. This ensures a comprehensive view of the product\'s value chain impact.</w:t>
      </w:r>
    </w:p>
    <w:bookmarkEnd w:id="22"/>
    <w:bookmarkStart w:id="23" w:name="lsr-standard-update-application"/>
    <w:p>
      <w:pPr>
        <w:pStyle w:val="Heading2"/>
      </w:pPr>
      <w:r>
        <w:t xml:space="preserve">2.2. 2026 LSR Standard Update Application</w:t>
      </w:r>
    </w:p>
    <w:p>
      <w:pPr>
        <w:pStyle w:val="FirstParagraph"/>
      </w:pPr>
      <w:r>
        <w:t xml:space="preserve">The Land Sector and Removals (LSR) Standard, published by the GHG Protocol on January 30, 2026, and effective January 1, 2027, provides requirements and guidance for accounting for land emissions and CO2 removals. While the direct application of this standard is more critical for entities with significant agricultural or land-use activities, this report acknowledges its relevance. Given the provided product Bill of Materials (BOM) and parameters, specific land-use emissions and removals data were not available for direct quantification within this PCF. However, the principles of transparency and comprehensive reporting of all relevant GHG impacts, as promoted by the LSR Standard, underpin this analysis.</w:t>
      </w:r>
    </w:p>
    <w:bookmarkEnd w:id="23"/>
    <w:bookmarkStart w:id="24" w:name="parameters-defined"/>
    <w:p>
      <w:pPr>
        <w:pStyle w:val="Heading2"/>
      </w:pPr>
      <w:r>
        <w:t xml:space="preserve">2.3. Parameters Defined</w:t>
      </w:r>
    </w:p>
    <w:p>
      <w:pPr>
        <w:numPr>
          <w:ilvl w:val="0"/>
          <w:numId w:val="1003"/>
        </w:numPr>
        <w:pStyle w:val="Compact"/>
      </w:pPr>
      <w:r>
        <w:rPr>
          <w:bCs/>
          <w:b/>
        </w:rPr>
        <w:t xml:space="preserve">Company Name:</w:t>
      </w:r>
      <w:r>
        <w:t xml:space="preserve"> </w:t>
      </w:r>
      <w:r>
        <w:t xml:space="preserve">fioixgpgfv</w:t>
      </w:r>
    </w:p>
    <w:p>
      <w:pPr>
        <w:numPr>
          <w:ilvl w:val="0"/>
          <w:numId w:val="1003"/>
        </w:numPr>
        <w:pStyle w:val="Compact"/>
      </w:pPr>
      <w:r>
        <w:rPr>
          <w:bCs/>
          <w:b/>
        </w:rPr>
        <w:t xml:space="preserve">Product Name:</w:t>
      </w:r>
      <w:r>
        <w:t xml:space="preserve"> </w:t>
      </w:r>
      <w:r>
        <w:t xml:space="preserve">riidrrlhom</w:t>
      </w:r>
    </w:p>
    <w:p>
      <w:pPr>
        <w:numPr>
          <w:ilvl w:val="0"/>
          <w:numId w:val="1003"/>
        </w:numPr>
        <w:pStyle w:val="Compact"/>
      </w:pPr>
      <w:r>
        <w:rPr>
          <w:bCs/>
          <w:b/>
        </w:rPr>
        <w:t xml:space="preserve">Senior Sustainability Consultant:</w:t>
      </w:r>
      <w:r>
        <w:t xml:space="preserve"> </w:t>
      </w:r>
      <w:r>
        <w:t xml:space="preserve">zgprexynvx</w:t>
      </w:r>
    </w:p>
    <w:p>
      <w:pPr>
        <w:numPr>
          <w:ilvl w:val="0"/>
          <w:numId w:val="1003"/>
        </w:numPr>
        <w:pStyle w:val="Compact"/>
      </w:pPr>
      <w:r>
        <w:rPr>
          <w:bCs/>
          <w:b/>
        </w:rPr>
        <w:t xml:space="preserve">Functional Unit:</w:t>
      </w:r>
      <w:r>
        <w:t xml:space="preserve"> </w:t>
      </w:r>
      <w:r>
        <w:t xml:space="preserve">1.0 unit</w:t>
      </w:r>
    </w:p>
    <w:p>
      <w:pPr>
        <w:numPr>
          <w:ilvl w:val="0"/>
          <w:numId w:val="1003"/>
        </w:numPr>
        <w:pStyle w:val="Compact"/>
      </w:pPr>
      <w:r>
        <w:rPr>
          <w:bCs/>
          <w:b/>
        </w:rPr>
        <w:t xml:space="preserve">System Boundary:</w:t>
      </w:r>
      <w:r>
        <w:t xml:space="preserve"> </w:t>
      </w:r>
      <w:r>
        <w:t xml:space="preserve">factory_gate (cradle-to-gate for manufacturing, extended to cradle-to-grave for full PCF)</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4"/>
    <w:bookmarkEnd w:id="25"/>
    <w:bookmarkStart w:id="32" w:name="lifecycle-mapping-data-collection"/>
    <w:p>
      <w:pPr>
        <w:pStyle w:val="Heading1"/>
      </w:pPr>
      <w:r>
        <w:t xml:space="preserve">3. Lifecycle Mapping &amp; Data Collection</w:t>
      </w:r>
    </w:p>
    <w:bookmarkStart w:id="26" w:name="lifecycle-stages-considered"/>
    <w:p>
      <w:pPr>
        <w:pStyle w:val="Heading2"/>
      </w:pPr>
      <w:r>
        <w:t xml:space="preserve">3.1. Lifecycle Stages Considered</w:t>
      </w:r>
    </w:p>
    <w:p>
      <w:pPr>
        <w:pStyle w:val="FirstParagraph"/>
      </w:pPr>
      <w:r>
        <w:t xml:space="preserve">The PCF for</w:t>
      </w:r>
      <w:r>
        <w:t xml:space="preserve"> </w:t>
      </w:r>
      <w:r>
        <w:rPr>
          <w:bCs/>
          <w:b/>
        </w:rPr>
        <w:t xml:space="preserve">riidrrlhom</w:t>
      </w:r>
      <w:r>
        <w:t xml:space="preserve"> </w:t>
      </w:r>
      <w:r>
        <w:t xml:space="preserve">encompasses the following lifecycle stages:</w:t>
      </w:r>
    </w:p>
    <w:p>
      <w:pPr>
        <w:numPr>
          <w:ilvl w:val="0"/>
          <w:numId w:val="1004"/>
        </w:numPr>
        <w:pStyle w:val="Compact"/>
      </w:pPr>
      <w:r>
        <w:rPr>
          <w:bCs/>
          <w:b/>
        </w:rPr>
        <w:t xml:space="preserve">Material Acquisition &amp; Pre-processing (Upstream Scope 3, Category 1 - Purchased goods and services):</w:t>
      </w:r>
      <w:r>
        <w:t xml:space="preserve"> </w:t>
      </w:r>
      <w:r>
        <w:t xml:space="preserve">Extraction, production, and pre-processing of all raw materials and components.</w:t>
      </w:r>
    </w:p>
    <w:p>
      <w:pPr>
        <w:numPr>
          <w:ilvl w:val="0"/>
          <w:numId w:val="1004"/>
        </w:numPr>
        <w:pStyle w:val="Compact"/>
      </w:pPr>
      <w:r>
        <w:rPr>
          <w:bCs/>
          <w:b/>
        </w:rPr>
        <w:t xml:space="preserve">Manufacturing (Scope 1 &amp; 2, and Upstream Scope 3 - Fuel and energy-related activities):</w:t>
      </w:r>
      <w:r>
        <w:t xml:space="preserve"> </w:t>
      </w:r>
      <w:r>
        <w:t xml:space="preserve">All energy consumption and direct emissions associated with the assembly and production of the product at</w:t>
      </w:r>
      <w:r>
        <w:t xml:space="preserve"> </w:t>
      </w:r>
      <w:r>
        <w:rPr>
          <w:bCs/>
          <w:b/>
        </w:rPr>
        <w:t xml:space="preserve">fioixgpgfv</w:t>
      </w:r>
      <w:r>
        <w:t xml:space="preserve">\'s facilities in China.</w:t>
      </w:r>
    </w:p>
    <w:p>
      <w:pPr>
        <w:numPr>
          <w:ilvl w:val="0"/>
          <w:numId w:val="1004"/>
        </w:numPr>
        <w:pStyle w:val="Compact"/>
      </w:pPr>
      <w:r>
        <w:rPr>
          <w:bCs/>
          <w:b/>
        </w:rPr>
        <w:t xml:space="preserve">Transportation (Upstream &amp; Downstream Scope 3, Categories 4 &amp; 9):</w:t>
      </w:r>
      <w:r>
        <w:t xml:space="preserve"> </w:t>
      </w:r>
      <w:r>
        <w:t xml:space="preserve">Transport of raw materials to the manufacturing site (upstream) and transport of the finished product to the customer, including last-mile delivery (downstream).</w:t>
      </w:r>
    </w:p>
    <w:p>
      <w:pPr>
        <w:numPr>
          <w:ilvl w:val="0"/>
          <w:numId w:val="1004"/>
        </w:numPr>
        <w:pStyle w:val="Compact"/>
      </w:pPr>
      <w:r>
        <w:rPr>
          <w:bCs/>
          <w:b/>
        </w:rPr>
        <w:t xml:space="preserve">Use Phase (Downstream Scope 3, Category 11 - Use of sold products):</w:t>
      </w:r>
      <w:r>
        <w:t xml:space="preserve"> </w:t>
      </w:r>
      <w:r>
        <w:t xml:space="preserve">Energy consumption during the product\'s active lifespan by the end-user.</w:t>
      </w:r>
    </w:p>
    <w:p>
      <w:pPr>
        <w:numPr>
          <w:ilvl w:val="0"/>
          <w:numId w:val="1004"/>
        </w:numPr>
        <w:pStyle w:val="Compact"/>
      </w:pPr>
      <w:r>
        <w:rPr>
          <w:bCs/>
          <w:b/>
        </w:rPr>
        <w:t xml:space="preserve">End-of-Life (Downstream Scope 3, Category 12 - End-of-life treatment of sold products):</w:t>
      </w:r>
      <w:r>
        <w:t xml:space="preserve"> </w:t>
      </w:r>
      <w:r>
        <w:t xml:space="preserve">Emissions related to disposal, recycling, or recovery of the product and its packaging after use.</w:t>
      </w:r>
    </w:p>
    <w:bookmarkEnd w:id="26"/>
    <w:bookmarkStart w:id="27" w:name="Xe031434453a7f92ddd1d891ee72239bfb65319a"/>
    <w:p>
      <w:pPr>
        <w:pStyle w:val="Heading2"/>
      </w:pPr>
      <w:r>
        <w:t xml:space="preserve">3.2. Detailed Bill of Materials (BOM) &amp; Material Impact</w:t>
      </w:r>
    </w:p>
    <w:p>
      <w:pPr>
        <w:pStyle w:val="FirstParagraph"/>
      </w:pPr>
      <w:r>
        <w:t xml:space="preserve">The following detailed Bill of Materials (BOM) for</w:t>
      </w:r>
      <w:r>
        <w:t xml:space="preserve"> </w:t>
      </w:r>
      <w:r>
        <w:rPr>
          <w:bCs/>
          <w:b/>
        </w:rPr>
        <w:t xml:space="preserve">riidrrlhom</w:t>
      </w:r>
      <w:r>
        <w:t xml:space="preserve"> </w:t>
      </w:r>
      <w:r>
        <w:t xml:space="preserve">was provided and used for high-accuracy material impact calculation. Industry-standard emission factors, primarily from Ecoinvent and DEFRA databases (or reasonable proxies), have been applied for materials not explicitly covered by the provided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102</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w:t>
            </w:r>
          </w:p>
        </w:tc>
      </w:tr>
      <w:tr>
        <w:tc>
          <w:tcPr/>
          <w:p>
            <w:pPr>
              <w:pStyle w:val="Compact"/>
              <w:jc w:val="left"/>
            </w:pPr>
            <w:r>
              <w:t xml:space="preserve">105</w:t>
            </w:r>
          </w:p>
        </w:tc>
        <w:tc>
          <w:tcPr/>
          <w:p>
            <w:pPr>
              <w:pStyle w:val="Compact"/>
              <w:jc w:val="left"/>
            </w:pPr>
            <w:r>
              <w:t xml:space="preserve">Li-ion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iCs/>
          <w:i/>
        </w:rPr>
        <w:t xml:space="preserve">Note: The "Total Carbon" values in the table above have been calculated based on the provided Quantity and Emission Factor for each item. Placeholder BOM data \'edfteyre\' has been simulated for demonstration purposes.</w:t>
      </w:r>
    </w:p>
    <w:bookmarkEnd w:id="27"/>
    <w:bookmarkStart w:id="28" w:name="energy-inputs-manufacturing-phase"/>
    <w:p>
      <w:pPr>
        <w:pStyle w:val="Heading2"/>
      </w:pPr>
      <w:r>
        <w:t xml:space="preserve">3.3. Energy Inputs (Manufacturing Phase)</w:t>
      </w:r>
    </w:p>
    <w:p>
      <w:pPr>
        <w:numPr>
          <w:ilvl w:val="0"/>
          <w:numId w:val="1005"/>
        </w:numPr>
        <w:pStyle w:val="Compact"/>
      </w:pPr>
      <w:r>
        <w:rPr>
          <w:bCs/>
          <w:b/>
        </w:rPr>
        <w:t xml:space="preserve">Energy Intensity (kWh/unit):</w:t>
      </w:r>
      <w:r>
        <w:t xml:space="preserve"> </w:t>
      </w:r>
      <w:r>
        <w:t xml:space="preserve">10 kWh/unit (Placeholder: vpvxqmrixd)</w:t>
      </w:r>
    </w:p>
    <w:p>
      <w:pPr>
        <w:numPr>
          <w:ilvl w:val="0"/>
          <w:numId w:val="1005"/>
        </w:numPr>
        <w:pStyle w:val="Compact"/>
      </w:pPr>
      <w:r>
        <w:rPr>
          <w:bCs/>
          <w:b/>
        </w:rPr>
        <w:t xml:space="preserve">Renewable Energy Usage:</w:t>
      </w:r>
      <w:r>
        <w:t xml:space="preserve"> </w:t>
      </w:r>
      <w:r>
        <w:t xml:space="preserve">50% (Placeholder: dgjfhyfmnn)</w:t>
      </w:r>
    </w:p>
    <w:p>
      <w:pPr>
        <w:numPr>
          <w:ilvl w:val="0"/>
          <w:numId w:val="1005"/>
        </w:numPr>
        <w:pStyle w:val="Compact"/>
      </w:pPr>
      <w:r>
        <w:rPr>
          <w:bCs/>
          <w:b/>
        </w:rPr>
        <w:t xml:space="preserve">Electricity Grid Emission Factor (China):</w:t>
      </w:r>
      <w:r>
        <w:t xml:space="preserve"> </w:t>
      </w:r>
      <w:r>
        <w:t xml:space="preserve">0.556 kg CO2e/kWh (Source: Climatiq, Climate Transparency Report 2020)</w:t>
      </w:r>
    </w:p>
    <w:p>
      <w:pPr>
        <w:pStyle w:val="FirstParagraph"/>
      </w:pPr>
      <w:r>
        <w:t xml:space="preserve">This implies that 50% of the energy consumed in manufacturing is from non-renewable sources, utilizing the China grid mix, and 50% is from renewable sources with zero emissions attributed at the point of use (assuming certified renewable energy purchases).</w:t>
      </w:r>
    </w:p>
    <w:bookmarkEnd w:id="28"/>
    <w:bookmarkStart w:id="29" w:name="logistics-data"/>
    <w:p>
      <w:pPr>
        <w:pStyle w:val="Heading2"/>
      </w:pPr>
      <w:r>
        <w:t xml:space="preserve">3.4. Logistics Data</w:t>
      </w:r>
    </w:p>
    <w:p>
      <w:pPr>
        <w:numPr>
          <w:ilvl w:val="0"/>
          <w:numId w:val="1006"/>
        </w:numPr>
        <w:pStyle w:val="Compact"/>
      </w:pPr>
      <w:r>
        <w:rPr>
          <w:bCs/>
          <w:b/>
        </w:rPr>
        <w:t xml:space="preserve">Total Product Weight for Transport:</w:t>
      </w:r>
      <w:r>
        <w:t xml:space="preserve"> </w:t>
      </w:r>
      <w:r>
        <w:t xml:space="preserve">Approximately 0.77 kg (calculated from BOM materials and packaging).</w:t>
      </w:r>
    </w:p>
    <w:p>
      <w:pPr>
        <w:numPr>
          <w:ilvl w:val="0"/>
          <w:numId w:val="1006"/>
        </w:numPr>
        <w:pStyle w:val="Compact"/>
      </w:pPr>
      <w:r>
        <w:rPr>
          <w:bCs/>
          <w:b/>
        </w:rPr>
        <w:t xml:space="preserve">Transport Mode (Upstream - main):</w:t>
      </w:r>
      <w:r>
        <w:t xml:space="preserve"> </w:t>
      </w:r>
      <w:r>
        <w:t xml:space="preserve">Road freight (Heavy Goods Vehicle - HGV) (Placeholder: Select Mode).</w:t>
      </w:r>
    </w:p>
    <w:p>
      <w:pPr>
        <w:numPr>
          <w:ilvl w:val="0"/>
          <w:numId w:val="1006"/>
        </w:numPr>
        <w:pStyle w:val="Compact"/>
      </w:pPr>
      <w:r>
        <w:rPr>
          <w:bCs/>
          <w:b/>
        </w:rPr>
        <w:t xml:space="preserve">Transport Distance (Upstream - main):</w:t>
      </w:r>
      <w:r>
        <w:t xml:space="preserve"> </w:t>
      </w:r>
      <w:r>
        <w:t xml:space="preserve">2000 km (Placeholder: hhnzmjvqzf), reflecting a Europe-focused supply chain to China.</w:t>
      </w:r>
    </w:p>
    <w:p>
      <w:pPr>
        <w:numPr>
          <w:ilvl w:val="0"/>
          <w:numId w:val="1006"/>
        </w:numPr>
        <w:pStyle w:val="Compact"/>
      </w:pPr>
      <w:r>
        <w:rPr>
          <w:bCs/>
          <w:b/>
        </w:rPr>
        <w:t xml:space="preserve">Last-Mile Delivery Channel (Downstream):</w:t>
      </w:r>
      <w:r>
        <w:t xml:space="preserve"> </w:t>
      </w:r>
      <w:r>
        <w:t xml:space="preserve">Van delivery to customer (Placeholder: Delivery Type).</w:t>
      </w:r>
    </w:p>
    <w:p>
      <w:pPr>
        <w:numPr>
          <w:ilvl w:val="0"/>
          <w:numId w:val="1006"/>
        </w:numPr>
        <w:pStyle w:val="Compact"/>
      </w:pPr>
      <w:r>
        <w:rPr>
          <w:bCs/>
          <w:b/>
        </w:rPr>
        <w:t xml:space="preserve">Last-Mile Delivery Emissions:</w:t>
      </w:r>
      <w:r>
        <w:t xml:space="preserve"> </w:t>
      </w:r>
      <w:r>
        <w:t xml:space="preserve">0.1 kg CO2e/parcel (based on average last-mile parcel emissions).</w:t>
      </w:r>
    </w:p>
    <w:p>
      <w:pPr>
        <w:numPr>
          <w:ilvl w:val="0"/>
          <w:numId w:val="1006"/>
        </w:numPr>
        <w:pStyle w:val="Compact"/>
      </w:pPr>
      <w:r>
        <w:rPr>
          <w:bCs/>
          <w:b/>
        </w:rPr>
        <w:t xml:space="preserve">Road Freight Emission Factor (HGV):</w:t>
      </w:r>
      <w:r>
        <w:t xml:space="preserve"> </w:t>
      </w:r>
      <w:r>
        <w:t xml:space="preserve">0.08 kg CO2e/tonne-km (Illustrative factor based on DEFRA data for articulated lorries, full load).</w:t>
      </w:r>
    </w:p>
    <w:bookmarkEnd w:id="29"/>
    <w:bookmarkStart w:id="30" w:name="use-phase-data"/>
    <w:p>
      <w:pPr>
        <w:pStyle w:val="Heading2"/>
      </w:pPr>
      <w:r>
        <w:t xml:space="preserve">3.5. Use Phase Data</w:t>
      </w:r>
    </w:p>
    <w:p>
      <w:pPr>
        <w:numPr>
          <w:ilvl w:val="0"/>
          <w:numId w:val="1007"/>
        </w:numPr>
        <w:pStyle w:val="Compact"/>
      </w:pPr>
      <w:r>
        <w:rPr>
          <w:bCs/>
          <w:b/>
        </w:rPr>
        <w:t xml:space="preserve">Product Lifespan:</w:t>
      </w:r>
      <w:r>
        <w:t xml:space="preserve"> </w:t>
      </w:r>
      <w:r>
        <w:t xml:space="preserve">5 years (Placeholder: smugfhjeqi)</w:t>
      </w:r>
    </w:p>
    <w:p>
      <w:pPr>
        <w:numPr>
          <w:ilvl w:val="0"/>
          <w:numId w:val="1007"/>
        </w:numPr>
        <w:pStyle w:val="Compact"/>
      </w:pPr>
      <w:r>
        <w:rPr>
          <w:bCs/>
          <w:b/>
        </w:rPr>
        <w:t xml:space="preserve">Energy Consumption in Use:</w:t>
      </w:r>
      <w:r>
        <w:t xml:space="preserve"> </w:t>
      </w:r>
      <w:r>
        <w:t xml:space="preserve">20 kWh/year (Placeholder: xmjfxfmmlf)</w:t>
      </w:r>
    </w:p>
    <w:p>
      <w:pPr>
        <w:numPr>
          <w:ilvl w:val="0"/>
          <w:numId w:val="1007"/>
        </w:numPr>
        <w:pStyle w:val="Compact"/>
      </w:pPr>
      <w:r>
        <w:rPr>
          <w:bCs/>
          <w:b/>
        </w:rPr>
        <w:t xml:space="preserve">Electricity Grid Emission Factor (User Location, assumed Europe average):</w:t>
      </w:r>
      <w:r>
        <w:t xml:space="preserve"> </w:t>
      </w:r>
      <w:r>
        <w:t xml:space="preserve">0.25 kg CO2e/kWh (Illustrative, lower than China due to European focus).</w:t>
      </w:r>
    </w:p>
    <w:bookmarkEnd w:id="30"/>
    <w:bookmarkStart w:id="31" w:name="end-of-life-eol-scenarios"/>
    <w:p>
      <w:pPr>
        <w:pStyle w:val="Heading2"/>
      </w:pPr>
      <w:r>
        <w:t xml:space="preserve">3.6. End-of-Life (EoL) Scenarios</w:t>
      </w:r>
    </w:p>
    <w:p>
      <w:pPr>
        <w:numPr>
          <w:ilvl w:val="0"/>
          <w:numId w:val="1008"/>
        </w:numPr>
        <w:pStyle w:val="Compact"/>
      </w:pPr>
      <w:r>
        <w:rPr>
          <w:bCs/>
          <w:b/>
        </w:rPr>
        <w:t xml:space="preserve">Recyclability Percentage:</w:t>
      </w:r>
      <w:r>
        <w:t xml:space="preserve"> </w:t>
      </w:r>
      <w:r>
        <w:t xml:space="preserve">70% (Placeholder: pjsjroomzx)</w:t>
      </w:r>
    </w:p>
    <w:p>
      <w:pPr>
        <w:numPr>
          <w:ilvl w:val="0"/>
          <w:numId w:val="1008"/>
        </w:numPr>
        <w:pStyle w:val="Compact"/>
      </w:pPr>
      <w:r>
        <w:rPr>
          <w:bCs/>
          <w:b/>
        </w:rPr>
        <w:t xml:space="preserve">Circular/Take-back Programs:</w:t>
      </w:r>
      <w:r>
        <w:t xml:space="preserve"> </w:t>
      </w:r>
      <w:r>
        <w:t xml:space="preserve">Yes, company-wide take-back program available (Placeholder: vqdxhnjumk).</w:t>
      </w:r>
    </w:p>
    <w:p>
      <w:pPr>
        <w:numPr>
          <w:ilvl w:val="0"/>
          <w:numId w:val="1008"/>
        </w:numPr>
        <w:pStyle w:val="Compact"/>
      </w:pPr>
      <w:r>
        <w:rPr>
          <w:bCs/>
          <w:b/>
        </w:rPr>
        <w:t xml:space="preserve">Avoided Emissions Factor (Recycling Plastics):</w:t>
      </w:r>
      <w:r>
        <w:t xml:space="preserve"> </w:t>
      </w:r>
      <w:r>
        <w:t xml:space="preserve">70% reduction in virgin material emissions.</w:t>
      </w:r>
    </w:p>
    <w:p>
      <w:pPr>
        <w:numPr>
          <w:ilvl w:val="0"/>
          <w:numId w:val="1008"/>
        </w:numPr>
        <w:pStyle w:val="Compact"/>
      </w:pPr>
      <w:r>
        <w:rPr>
          <w:bCs/>
          <w:b/>
        </w:rPr>
        <w:t xml:space="preserve">Avoided Emissions Factor (Recycling Metals):</w:t>
      </w:r>
      <w:r>
        <w:t xml:space="preserve"> </w:t>
      </w:r>
      <w:r>
        <w:t xml:space="preserve">80% reduction in virgin material emissions.</w:t>
      </w:r>
    </w:p>
    <w:p>
      <w:pPr>
        <w:numPr>
          <w:ilvl w:val="0"/>
          <w:numId w:val="1008"/>
        </w:numPr>
        <w:pStyle w:val="Compact"/>
      </w:pPr>
      <w:r>
        <w:rPr>
          <w:bCs/>
          <w:b/>
        </w:rPr>
        <w:t xml:space="preserve">Emissions from Landfill:</w:t>
      </w:r>
      <w:r>
        <w:t xml:space="preserve"> </w:t>
      </w:r>
      <w:r>
        <w:t xml:space="preserve">Assumed 0.5 kg CO2e/kg for non-recycled waste (illustrative).</w:t>
      </w:r>
    </w:p>
    <w:p>
      <w:r>
        <w:pict>
          <v:rect style="width:0;height:1.5pt" o:hralign="center" o:hrstd="t" o:hr="t"/>
        </w:pict>
      </w:r>
    </w:p>
    <w:bookmarkEnd w:id="31"/>
    <w:bookmarkEnd w:id="32"/>
    <w:bookmarkStart w:id="42" w:name="emissions-calculation"/>
    <w:p>
      <w:pPr>
        <w:pStyle w:val="Heading1"/>
      </w:pPr>
      <w:r>
        <w:t xml:space="preserve">4. Emissions Calculation</w:t>
      </w:r>
    </w:p>
    <w:p>
      <w:pPr>
        <w:pStyle w:val="FirstParagraph"/>
      </w:pPr>
      <w:r>
        <w:t xml:space="preserve">The calculation methodology for each lifecycle stage is based on the principle of Activity Data multiplied by an Emission Factor, resulting in CO2e. Emissions are then categorized according to the GHG Protocol\'s Scope 1, 2, and 3 definitions.</w:t>
      </w:r>
    </w:p>
    <w:bookmarkStart w:id="33" w:name="Xcf9b99267f9faf094d2bbafecd149540fef7edc"/>
    <w:p>
      <w:pPr>
        <w:pStyle w:val="Heading2"/>
      </w:pPr>
      <w:r>
        <w:t xml:space="preserve">4.1. Material Acquisition &amp; Pre-processing (Scope 3 - Category 1)</w:t>
      </w:r>
    </w:p>
    <w:p>
      <w:pPr>
        <w:pStyle w:val="FirstParagraph"/>
      </w:pPr>
      <w:r>
        <w:t xml:space="preserve">Emissions from purchased goods and services represent the upstream impacts of raw material extraction and component manufacturing. These are calculated directly from the BOM using the provided quantities and emission factors.</w:t>
      </w:r>
    </w:p>
    <w:p>
      <w:pPr>
        <w:numPr>
          <w:ilvl w:val="0"/>
          <w:numId w:val="1009"/>
        </w:numPr>
        <w:pStyle w:val="Compact"/>
      </w:pPr>
      <w:r>
        <w:t xml:space="preserve">Plastic Casing: 0.3 kg * 3.0 kgCO2e/kg = 0.90 kgCO2e</w:t>
      </w:r>
    </w:p>
    <w:p>
      <w:pPr>
        <w:numPr>
          <w:ilvl w:val="0"/>
          <w:numId w:val="1009"/>
        </w:numPr>
        <w:pStyle w:val="Compact"/>
      </w:pPr>
      <w:r>
        <w:t xml:space="preserve">Steel Frame: 0.2 kg * 2.0 kgCO2e/kg = 0.40 kgCO2e</w:t>
      </w:r>
    </w:p>
    <w:p>
      <w:pPr>
        <w:numPr>
          <w:ilvl w:val="0"/>
          <w:numId w:val="1009"/>
        </w:numPr>
        <w:pStyle w:val="Compact"/>
      </w:pPr>
      <w:r>
        <w:t xml:space="preserve">Circuit Board: 0.05 unit * 10.0 kgCO2e/unit = 0.50 kgCO2e</w:t>
      </w:r>
    </w:p>
    <w:p>
      <w:pPr>
        <w:numPr>
          <w:ilvl w:val="0"/>
          <w:numId w:val="1009"/>
        </w:numPr>
        <w:pStyle w:val="Compact"/>
      </w:pPr>
      <w:r>
        <w:t xml:space="preserve">Copper Wiring: 0.02 kg * 6.0 kgCO2e/kg = 0.12 kgCO2e</w:t>
      </w:r>
    </w:p>
    <w:p>
      <w:pPr>
        <w:numPr>
          <w:ilvl w:val="0"/>
          <w:numId w:val="1009"/>
        </w:numPr>
        <w:pStyle w:val="Compact"/>
      </w:pPr>
      <w:r>
        <w:t xml:space="preserve">Li-ion Battery: 0.1 unit * 15.0 kgCO2e/unit = 1.50 kgCO2e</w:t>
      </w:r>
    </w:p>
    <w:p>
      <w:pPr>
        <w:numPr>
          <w:ilvl w:val="0"/>
          <w:numId w:val="1009"/>
        </w:numPr>
        <w:pStyle w:val="Compact"/>
      </w:pPr>
      <w:r>
        <w:t xml:space="preserve">Cardboard Packaging: 0.1 kg * 1.0 kgCO2e/kg = 0.10 kgCO2e</w:t>
      </w:r>
    </w:p>
    <w:p>
      <w:pPr>
        <w:pStyle w:val="FirstParagraph"/>
      </w:pPr>
      <w:r>
        <w:rPr>
          <w:bCs/>
          <w:b/>
        </w:rPr>
        <w:t xml:space="preserve">Total Material Acquisition Emissions: 3.52 kgCO2e</w:t>
      </w:r>
    </w:p>
    <w:bookmarkEnd w:id="33"/>
    <w:bookmarkStart w:id="34" w:name="manufacturing-scope-1-2"/>
    <w:p>
      <w:pPr>
        <w:pStyle w:val="Heading2"/>
      </w:pPr>
      <w:r>
        <w:t xml:space="preserve">4.2. Manufacturing (Scope 1 &amp; 2)</w:t>
      </w:r>
    </w:p>
    <w:p>
      <w:pPr>
        <w:pStyle w:val="FirstParagraph"/>
      </w:pPr>
      <w:r>
        <w:t xml:space="preserve">Manufacturing emissions are primarily driven by energy consumption. Given the "factory_gate" system boundary for direct operations, Scope 1 covers direct process emissions (assumed negligible for this product) and Scope 2 covers purchased electricity. Renewable energy usage reduces the grid electricity footprint.</w:t>
      </w:r>
    </w:p>
    <w:p>
      <w:pPr>
        <w:numPr>
          <w:ilvl w:val="0"/>
          <w:numId w:val="1010"/>
        </w:numPr>
        <w:pStyle w:val="Compact"/>
      </w:pPr>
      <w:r>
        <w:t xml:space="preserve">Total Energy Consumption: 10 kWh/unit</w:t>
      </w:r>
    </w:p>
    <w:p>
      <w:pPr>
        <w:numPr>
          <w:ilvl w:val="0"/>
          <w:numId w:val="1010"/>
        </w:numPr>
        <w:pStyle w:val="Compact"/>
      </w:pPr>
      <w:r>
        <w:t xml:space="preserve">Non-renewable Energy Consumption: 10 kWh/unit * (1 - 50%) = 5 kWh/unit</w:t>
      </w:r>
    </w:p>
    <w:p>
      <w:pPr>
        <w:numPr>
          <w:ilvl w:val="0"/>
          <w:numId w:val="1010"/>
        </w:numPr>
        <w:pStyle w:val="Compact"/>
      </w:pPr>
      <w:r>
        <w:t xml:space="preserve">Scope 2 Emissions (Electricity from China Grid): 5 kWh/unit * 0.556 kg CO2e/kWh = 2.78 kgCO2e</w:t>
      </w:r>
    </w:p>
    <w:p>
      <w:pPr>
        <w:numPr>
          <w:ilvl w:val="0"/>
          <w:numId w:val="1010"/>
        </w:numPr>
        <w:pStyle w:val="Compact"/>
      </w:pPr>
      <w:r>
        <w:t xml:space="preserve">Scope 1 Emissions: Assumed 0.05 kgCO2e (for minor direct processes or fugitive emissions, illustrative)</w:t>
      </w:r>
    </w:p>
    <w:p>
      <w:pPr>
        <w:pStyle w:val="FirstParagraph"/>
      </w:pPr>
      <w:r>
        <w:rPr>
          <w:bCs/>
          <w:b/>
        </w:rPr>
        <w:t xml:space="preserve">Total Manufacturing Emissions: 2.83 kgCO2e (2.78 kgCO2e Scope 2, 0.05 kgCO2e Scope 1)</w:t>
      </w:r>
    </w:p>
    <w:bookmarkEnd w:id="34"/>
    <w:bookmarkStart w:id="37" w:name="transportation-scope-3---categories-4-9"/>
    <w:p>
      <w:pPr>
        <w:pStyle w:val="Heading2"/>
      </w:pPr>
      <w:r>
        <w:t xml:space="preserve">4.3. Transportation (Scope 3 - Categories 4 &amp; 9)</w:t>
      </w:r>
    </w:p>
    <w:bookmarkStart w:id="35" w:name="X86c0f34a75b294f5538715cb6d8081b06081652"/>
    <w:p>
      <w:pPr>
        <w:pStyle w:val="Heading3"/>
      </w:pPr>
      <w:r>
        <w:t xml:space="preserve">4.3.1. Upstream Transportation (Materials to Factory)</w:t>
      </w:r>
    </w:p>
    <w:p>
      <w:pPr>
        <w:numPr>
          <w:ilvl w:val="0"/>
          <w:numId w:val="1011"/>
        </w:numPr>
        <w:pStyle w:val="Compact"/>
      </w:pPr>
      <w:r>
        <w:t xml:space="preserve">Total Product Weight for Upstream Transport: 0.77 kg (excluding packaging, but including components). For conservative estimation, we use 0.8 kg.</w:t>
      </w:r>
    </w:p>
    <w:p>
      <w:pPr>
        <w:numPr>
          <w:ilvl w:val="0"/>
          <w:numId w:val="1011"/>
        </w:numPr>
        <w:pStyle w:val="Compact"/>
      </w:pPr>
      <w:r>
        <w:t xml:space="preserve">Transport Distance: 2000 km</w:t>
      </w:r>
    </w:p>
    <w:p>
      <w:pPr>
        <w:numPr>
          <w:ilvl w:val="0"/>
          <w:numId w:val="1011"/>
        </w:numPr>
        <w:pStyle w:val="Compact"/>
      </w:pPr>
      <w:r>
        <w:t xml:space="preserve">Road Freight Emission Factor: 0.08 kg CO2e/tonne-km = 0.00008 kg CO2e/kg-km</w:t>
      </w:r>
    </w:p>
    <w:p>
      <w:pPr>
        <w:numPr>
          <w:ilvl w:val="0"/>
          <w:numId w:val="1011"/>
        </w:numPr>
        <w:pStyle w:val="Compact"/>
      </w:pPr>
      <w:r>
        <w:t xml:space="preserve">Upstream Transport Emissions: 0.8 kg * 2000 km * 0.00008 kg CO2e/kg-km = 0.128 kgCO2e</w:t>
      </w:r>
    </w:p>
    <w:bookmarkEnd w:id="35"/>
    <w:bookmarkStart w:id="36" w:name="Xaaffe9440956f884b433bd52848df8ad78da6f7"/>
    <w:p>
      <w:pPr>
        <w:pStyle w:val="Heading3"/>
      </w:pPr>
      <w:r>
        <w:t xml:space="preserve">4.3.2. Downstream Transportation (Factory to Customer, including Last-Mile)</w:t>
      </w:r>
    </w:p>
    <w:p>
      <w:pPr>
        <w:pStyle w:val="FirstParagraph"/>
      </w:pPr>
      <w:r>
        <w:t xml:space="preserve">For simplicity, we consider the average last-mile delivery emissions per parcel for the entire downstream transport impact as it often represents a significant portion.</w:t>
      </w:r>
    </w:p>
    <w:p>
      <w:pPr>
        <w:numPr>
          <w:ilvl w:val="0"/>
          <w:numId w:val="1012"/>
        </w:numPr>
        <w:pStyle w:val="Compact"/>
      </w:pPr>
      <w:r>
        <w:t xml:space="preserve">Last-Mile Delivery Emissions per unit: 0.1 kg CO2e/unit</w:t>
      </w:r>
    </w:p>
    <w:p>
      <w:pPr>
        <w:numPr>
          <w:ilvl w:val="0"/>
          <w:numId w:val="1012"/>
        </w:numPr>
        <w:pStyle w:val="Compact"/>
      </w:pPr>
      <w:r>
        <w:t xml:space="preserve">Downstream Transport Emissions: 0.1 kgCO2e</w:t>
      </w:r>
    </w:p>
    <w:p>
      <w:pPr>
        <w:pStyle w:val="FirstParagraph"/>
      </w:pPr>
      <w:r>
        <w:rPr>
          <w:bCs/>
          <w:b/>
        </w:rPr>
        <w:t xml:space="preserve">Total Transportation Emissions: 0.128 kgCO2e (Upstream) + 0.1 kgCO2e (Downstream) = 0.228 kgCO2e</w:t>
      </w:r>
    </w:p>
    <w:bookmarkEnd w:id="36"/>
    <w:bookmarkEnd w:id="37"/>
    <w:bookmarkStart w:id="38" w:name="use-phase-scope-3---category-11"/>
    <w:p>
      <w:pPr>
        <w:pStyle w:val="Heading2"/>
      </w:pPr>
      <w:r>
        <w:t xml:space="preserve">4.4. Use Phase (Scope 3 - Category 11)</w:t>
      </w:r>
    </w:p>
    <w:p>
      <w:pPr>
        <w:pStyle w:val="FirstParagraph"/>
      </w:pPr>
      <w:r>
        <w:t xml:space="preserve">Emissions from product use are based on its energy consumption over its lifespan and the electricity mix of the end-user\'s region (assumed Europe-focused for this product\'s market).</w:t>
      </w:r>
    </w:p>
    <w:p>
      <w:pPr>
        <w:numPr>
          <w:ilvl w:val="0"/>
          <w:numId w:val="1013"/>
        </w:numPr>
        <w:pStyle w:val="Compact"/>
      </w:pPr>
      <w:r>
        <w:t xml:space="preserve">Annual Energy Consumption: 20 kWh/year</w:t>
      </w:r>
    </w:p>
    <w:p>
      <w:pPr>
        <w:numPr>
          <w:ilvl w:val="0"/>
          <w:numId w:val="1013"/>
        </w:numPr>
        <w:pStyle w:val="Compact"/>
      </w:pPr>
      <w:r>
        <w:t xml:space="preserve">Product Lifespan: 5 years</w:t>
      </w:r>
    </w:p>
    <w:p>
      <w:pPr>
        <w:numPr>
          <w:ilvl w:val="0"/>
          <w:numId w:val="1013"/>
        </w:numPr>
        <w:pStyle w:val="Compact"/>
      </w:pPr>
      <w:r>
        <w:t xml:space="preserve">Total Energy Consumption over Lifespan: 20 kWh/year * 5 years = 100 kWh</w:t>
      </w:r>
    </w:p>
    <w:p>
      <w:pPr>
        <w:numPr>
          <w:ilvl w:val="0"/>
          <w:numId w:val="1013"/>
        </w:numPr>
        <w:pStyle w:val="Compact"/>
      </w:pPr>
      <w:r>
        <w:t xml:space="preserve">Electricity Grid Emission Factor (Europe, illustrative): 0.25 kg CO2e/kWh</w:t>
      </w:r>
    </w:p>
    <w:p>
      <w:pPr>
        <w:numPr>
          <w:ilvl w:val="0"/>
          <w:numId w:val="1013"/>
        </w:numPr>
        <w:pStyle w:val="Compact"/>
      </w:pPr>
      <w:r>
        <w:t xml:space="preserve">Use Phase Emissions: 100 kWh * 0.25 kg CO2e/kWh = 25.0 kgCO2e</w:t>
      </w:r>
    </w:p>
    <w:p>
      <w:pPr>
        <w:pStyle w:val="FirstParagraph"/>
      </w:pPr>
      <w:r>
        <w:rPr>
          <w:bCs/>
          <w:b/>
        </w:rPr>
        <w:t xml:space="preserve">Total Use Phase Emissions: 25.0 kgCO2e</w:t>
      </w:r>
    </w:p>
    <w:bookmarkEnd w:id="38"/>
    <w:bookmarkStart w:id="41" w:name="end-of-life-eol-scope-3---category-12"/>
    <w:p>
      <w:pPr>
        <w:pStyle w:val="Heading2"/>
      </w:pPr>
      <w:r>
        <w:t xml:space="preserve">4.5. End-of-Life (EoL) (Scope 3 - Category 12)</w:t>
      </w:r>
    </w:p>
    <w:p>
      <w:pPr>
        <w:pStyle w:val="FirstParagraph"/>
      </w:pPr>
      <w:r>
        <w:t xml:space="preserve">EoL emissions consider recycling benefits and disposal impacts. The recyclability percentage helps calculate avoided emissions.</w:t>
      </w:r>
    </w:p>
    <w:p>
      <w:pPr>
        <w:numPr>
          <w:ilvl w:val="0"/>
          <w:numId w:val="1014"/>
        </w:numPr>
        <w:pStyle w:val="Compact"/>
      </w:pPr>
      <w:r>
        <w:t xml:space="preserve">Total Product Mass (materials + packaging): 0.67 kg (materials) + 0.1 kg (packaging) = 0.77 kg</w:t>
      </w:r>
    </w:p>
    <w:p>
      <w:pPr>
        <w:numPr>
          <w:ilvl w:val="0"/>
          <w:numId w:val="1014"/>
        </w:numPr>
        <w:pStyle w:val="Compact"/>
      </w:pPr>
      <w:r>
        <w:t xml:space="preserve">Recycled Portion: 0.77 kg * 70% = 0.539 kg</w:t>
      </w:r>
    </w:p>
    <w:p>
      <w:pPr>
        <w:numPr>
          <w:ilvl w:val="0"/>
          <w:numId w:val="1014"/>
        </w:numPr>
        <w:pStyle w:val="Compact"/>
      </w:pPr>
      <w:r>
        <w:t xml:space="preserve">Disposed Portion: 0.77 kg * 30% = 0.231 kg</w:t>
      </w:r>
    </w:p>
    <w:bookmarkStart w:id="39" w:name="avoided-emissions-from-recycling"/>
    <w:p>
      <w:pPr>
        <w:pStyle w:val="Heading3"/>
      </w:pPr>
      <w:r>
        <w:t xml:space="preserve">4.5.1. Avoided Emissions from Recycling</w:t>
      </w:r>
    </w:p>
    <w:p>
      <w:pPr>
        <w:pStyle w:val="FirstParagraph"/>
      </w:pPr>
      <w:r>
        <w:t xml:space="preserve">For the recycled portion, we estimate avoided emissions by applying reduction factors to the virgin material emission factors. We approximate the material breakdown of the recycled portion (0.539 kg) to estimate avoided emissions.</w:t>
      </w:r>
    </w:p>
    <w:p>
      <w:pPr>
        <w:numPr>
          <w:ilvl w:val="0"/>
          <w:numId w:val="1015"/>
        </w:numPr>
        <w:pStyle w:val="Compact"/>
      </w:pPr>
      <w:r>
        <w:t xml:space="preserve">Plastic (0.3 kg from BOM): 0.3 kg * 70% recyclability * 3.0 kgCO2e/kg (virgin EF) * 0.70 (avoidance factor) = 0.441 kgCO2e avoided.</w:t>
      </w:r>
    </w:p>
    <w:p>
      <w:pPr>
        <w:numPr>
          <w:ilvl w:val="0"/>
          <w:numId w:val="1015"/>
        </w:numPr>
        <w:pStyle w:val="Compact"/>
      </w:pPr>
      <w:r>
        <w:t xml:space="preserve">Metal (Steel 0.2kg + Copper 0.02kg = 0.22 kg from BOM): 0.22 kg * 70% recyclability * (avg. 4.0 kgCO2e/kg for metal) * 0.80 (avoidance factor) = 0.493 kgCO2e avoided.</w:t>
      </w:r>
    </w:p>
    <w:p>
      <w:pPr>
        <w:numPr>
          <w:ilvl w:val="0"/>
          <w:numId w:val="1015"/>
        </w:numPr>
        <w:pStyle w:val="Compact"/>
      </w:pPr>
      <w:r>
        <w:t xml:space="preserve">Cardboard (0.1 kg from BOM): 0.1 kg * 70% recyclability * 1.0 kgCO2e/kg (virgin EF) * 0.50 (avoidance factor) = 0.035 kgCO2e avoided.</w:t>
      </w:r>
    </w:p>
    <w:p>
      <w:pPr>
        <w:numPr>
          <w:ilvl w:val="0"/>
          <w:numId w:val="1015"/>
        </w:numPr>
        <w:pStyle w:val="Compact"/>
      </w:pPr>
      <w:r>
        <w:t xml:space="preserve">Electronics (Circuit Board 0.05 unit + Battery 0.1 unit): These are complex. We\'ll assume a net neutral or slightly positive impact from recycling/disposal given the complexities (e.g., specific facilities needed, valuable material recovery offset by energy for processing). For simplification, we\'ll assign a conservative net EoL impact for electronics, rather than avoided emissions for this specific component without detailed material breakdown and specific recycling process data.</w:t>
      </w:r>
    </w:p>
    <w:p>
      <w:pPr>
        <w:pStyle w:val="FirstParagraph"/>
      </w:pPr>
      <w:r>
        <w:rPr>
          <w:bCs/>
          <w:b/>
        </w:rPr>
        <w:t xml:space="preserve">Total Avoided EoL Emissions (approximated for plastics, metals, cardboard): -0.969 kgCO2e</w:t>
      </w:r>
    </w:p>
    <w:bookmarkEnd w:id="39"/>
    <w:bookmarkStart w:id="40" w:name="emissions-from-disposal"/>
    <w:p>
      <w:pPr>
        <w:pStyle w:val="Heading3"/>
      </w:pPr>
      <w:r>
        <w:t xml:space="preserve">4.5.2. Emissions from Disposal</w:t>
      </w:r>
    </w:p>
    <w:p>
      <w:pPr>
        <w:pStyle w:val="FirstParagraph"/>
      </w:pPr>
      <w:r>
        <w:t xml:space="preserve">For the disposed portion (0.231 kg), we apply a generic landfill emission factor.</w:t>
      </w:r>
    </w:p>
    <w:p>
      <w:pPr>
        <w:numPr>
          <w:ilvl w:val="0"/>
          <w:numId w:val="1016"/>
        </w:numPr>
        <w:pStyle w:val="Compact"/>
      </w:pPr>
      <w:r>
        <w:t xml:space="preserve">Disposal Emissions: 0.231 kg * 0.5 kg CO2e/kg = 0.1155 kgCO2e</w:t>
      </w:r>
    </w:p>
    <w:p>
      <w:pPr>
        <w:pStyle w:val="FirstParagraph"/>
      </w:pPr>
      <w:r>
        <w:rPr>
          <w:bCs/>
          <w:b/>
        </w:rPr>
        <w:t xml:space="preserve">Net End-of-Life Emissions: 0.1155 kgCO2e (Disposal) - 0.969 kgCO2e (Avoided) = -0.8535 kgCO2e</w:t>
      </w:r>
    </w:p>
    <w:p>
      <w:pPr>
        <w:pStyle w:val="BodyText"/>
      </w:pPr>
      <w:r>
        <w:t xml:space="preserve">The "Circular/Take-back Programs: vqdxhnjumk" indicates that the company has programs in place, supporting the high recyclability percentage and the potential for avoided emissions. The negative value here indicates a net carbon sequestration/avoidance from effective recycling processes.</w:t>
      </w:r>
    </w:p>
    <w:p>
      <w:r>
        <w:pict>
          <v:rect style="width:0;height:1.5pt" o:hralign="center" o:hrstd="t" o:hr="t"/>
        </w:pict>
      </w:r>
    </w:p>
    <w:bookmarkEnd w:id="40"/>
    <w:bookmarkEnd w:id="41"/>
    <w:bookmarkEnd w:id="42"/>
    <w:bookmarkStart w:id="45" w:name="product-carbon-footprint-summary"/>
    <w:p>
      <w:pPr>
        <w:pStyle w:val="Heading1"/>
      </w:pPr>
      <w:r>
        <w:t xml:space="preserve">5. Product Carbon Footprint Summary</w:t>
      </w:r>
    </w:p>
    <w:p>
      <w:pPr>
        <w:pStyle w:val="FirstParagraph"/>
      </w:pPr>
      <w:r>
        <w:t xml:space="preserve">The total Product Carbon Footprint for one functional unit of</w:t>
      </w:r>
      <w:r>
        <w:t xml:space="preserve"> </w:t>
      </w:r>
      <w:r>
        <w:rPr>
          <w:bCs/>
          <w:b/>
        </w:rPr>
        <w:t xml:space="preserve">riidrrlhom</w:t>
      </w:r>
      <w:r>
        <w:t xml:space="preserve"> </w:t>
      </w:r>
      <w:r>
        <w:t xml:space="preserve">is summarized below, broken down by lifecycle stage and GHG Protocol scope.</w:t>
      </w:r>
    </w:p>
    <w:bookmarkStart w:id="43" w:name="Xe0f2e36224c1eca66dbd5638562eea00ca9295b"/>
    <w:p>
      <w:pPr>
        <w:pStyle w:val="Heading2"/>
      </w:pPr>
      <w:r>
        <w:t xml:space="preserve">5.1. Emissions by Lifecycle Stage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3.520</w:t>
            </w:r>
          </w:p>
        </w:tc>
        <w:tc>
          <w:tcPr/>
          <w:p>
            <w:pPr>
              <w:pStyle w:val="Compact"/>
              <w:jc w:val="left"/>
            </w:pPr>
            <w:r>
              <w:t xml:space="preserve">12.87%</w:t>
            </w:r>
          </w:p>
        </w:tc>
      </w:tr>
      <w:tr>
        <w:tc>
          <w:tcPr/>
          <w:p>
            <w:pPr>
              <w:pStyle w:val="Compact"/>
              <w:jc w:val="left"/>
            </w:pPr>
            <w:r>
              <w:t xml:space="preserve">Manufacturing</w:t>
            </w:r>
          </w:p>
        </w:tc>
        <w:tc>
          <w:tcPr/>
          <w:p>
            <w:pPr>
              <w:pStyle w:val="Compact"/>
              <w:jc w:val="left"/>
            </w:pPr>
            <w:r>
              <w:t xml:space="preserve">2.830</w:t>
            </w:r>
          </w:p>
        </w:tc>
        <w:tc>
          <w:tcPr/>
          <w:p>
            <w:pPr>
              <w:pStyle w:val="Compact"/>
              <w:jc w:val="left"/>
            </w:pPr>
            <w:r>
              <w:t xml:space="preserve">10.35%</w:t>
            </w:r>
          </w:p>
        </w:tc>
      </w:tr>
      <w:tr>
        <w:tc>
          <w:tcPr/>
          <w:p>
            <w:pPr>
              <w:pStyle w:val="Compact"/>
              <w:jc w:val="left"/>
            </w:pPr>
            <w:r>
              <w:t xml:space="preserve">Transportation</w:t>
            </w:r>
          </w:p>
        </w:tc>
        <w:tc>
          <w:tcPr/>
          <w:p>
            <w:pPr>
              <w:pStyle w:val="Compact"/>
              <w:jc w:val="left"/>
            </w:pPr>
            <w:r>
              <w:t xml:space="preserve">0.228</w:t>
            </w:r>
          </w:p>
        </w:tc>
        <w:tc>
          <w:tcPr/>
          <w:p>
            <w:pPr>
              <w:pStyle w:val="Compact"/>
              <w:jc w:val="left"/>
            </w:pPr>
            <w:r>
              <w:t xml:space="preserve">0.83%</w:t>
            </w:r>
          </w:p>
        </w:tc>
      </w:tr>
      <w:tr>
        <w:tc>
          <w:tcPr/>
          <w:p>
            <w:pPr>
              <w:pStyle w:val="Compact"/>
              <w:jc w:val="left"/>
            </w:pPr>
            <w:r>
              <w:t xml:space="preserve">Use Phase</w:t>
            </w:r>
          </w:p>
        </w:tc>
        <w:tc>
          <w:tcPr/>
          <w:p>
            <w:pPr>
              <w:pStyle w:val="Compact"/>
              <w:jc w:val="left"/>
            </w:pPr>
            <w:r>
              <w:t xml:space="preserve">25.000</w:t>
            </w:r>
          </w:p>
        </w:tc>
        <w:tc>
          <w:tcPr/>
          <w:p>
            <w:pPr>
              <w:pStyle w:val="Compact"/>
              <w:jc w:val="left"/>
            </w:pPr>
            <w:r>
              <w:t xml:space="preserve">91.43%</w:t>
            </w:r>
          </w:p>
        </w:tc>
      </w:tr>
      <w:tr>
        <w:tc>
          <w:tcPr/>
          <w:p>
            <w:pPr>
              <w:pStyle w:val="Compact"/>
              <w:jc w:val="left"/>
            </w:pPr>
            <w:r>
              <w:t xml:space="preserve">End-of-Life</w:t>
            </w:r>
          </w:p>
        </w:tc>
        <w:tc>
          <w:tcPr/>
          <w:p>
            <w:pPr>
              <w:pStyle w:val="Compact"/>
              <w:jc w:val="left"/>
            </w:pPr>
            <w:r>
              <w:t xml:space="preserve">-0.854</w:t>
            </w:r>
          </w:p>
        </w:tc>
        <w:tc>
          <w:tcPr/>
          <w:p>
            <w:pPr>
              <w:pStyle w:val="Compact"/>
              <w:jc w:val="left"/>
            </w:pPr>
            <w:r>
              <w:t xml:space="preserve">-3.12%</w:t>
            </w:r>
          </w:p>
        </w:tc>
      </w:tr>
      <w:tr>
        <w:tc>
          <w:tcPr/>
          <w:p>
            <w:pPr>
              <w:pStyle w:val="Compact"/>
              <w:jc w:val="left"/>
            </w:pPr>
            <w:r>
              <w:t xml:space="preserve">Total PCF</w:t>
            </w:r>
          </w:p>
        </w:tc>
        <w:tc>
          <w:tcPr/>
          <w:p>
            <w:pPr>
              <w:pStyle w:val="Compact"/>
              <w:jc w:val="left"/>
            </w:pPr>
            <w:r>
              <w:t xml:space="preserve">30.724</w:t>
            </w:r>
          </w:p>
        </w:tc>
        <w:tc>
          <w:tcPr/>
          <w:p>
            <w:pPr>
              <w:pStyle w:val="Compact"/>
              <w:jc w:val="left"/>
            </w:pPr>
            <w:r>
              <w:t xml:space="preserve">100.00%</w:t>
            </w:r>
          </w:p>
        </w:tc>
      </w:tr>
    </w:tbl>
    <w:p>
      <w:pPr>
        <w:pStyle w:val="BodyText"/>
      </w:pPr>
      <w:r>
        <w:rPr>
          <w:iCs/>
          <w:i/>
        </w:rPr>
        <w:t xml:space="preserve">Note: Percentages may not sum to 100% due to rounding and negative EoL emissions.</w:t>
      </w:r>
    </w:p>
    <w:bookmarkEnd w:id="43"/>
    <w:bookmarkStart w:id="44" w:name="X42d7f3da7cbe9151c2fc5ba69d1005b706bc02d"/>
    <w:p>
      <w:pPr>
        <w:pStyle w:val="Heading2"/>
      </w:pPr>
      <w:r>
        <w:t xml:space="preserve">5.2. Emissions by GHG Protocol Scope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 (Direct from Manufacturing)</w:t>
            </w:r>
          </w:p>
        </w:tc>
        <w:tc>
          <w:tcPr/>
          <w:p>
            <w:pPr>
              <w:pStyle w:val="Compact"/>
              <w:jc w:val="left"/>
            </w:pPr>
            <w:r>
              <w:t xml:space="preserve">0.050</w:t>
            </w:r>
          </w:p>
        </w:tc>
        <w:tc>
          <w:tcPr/>
          <w:p>
            <w:pPr>
              <w:pStyle w:val="Compact"/>
              <w:jc w:val="left"/>
            </w:pPr>
            <w:r>
              <w:t xml:space="preserve">0.16%</w:t>
            </w:r>
          </w:p>
        </w:tc>
      </w:tr>
      <w:tr>
        <w:tc>
          <w:tcPr/>
          <w:p>
            <w:pPr>
              <w:pStyle w:val="Compact"/>
              <w:jc w:val="left"/>
            </w:pPr>
            <w:r>
              <w:t xml:space="preserve">Scope 2 (Purchased Electricity for Manufacturing)</w:t>
            </w:r>
          </w:p>
        </w:tc>
        <w:tc>
          <w:tcPr/>
          <w:p>
            <w:pPr>
              <w:pStyle w:val="Compact"/>
              <w:jc w:val="left"/>
            </w:pPr>
            <w:r>
              <w:t xml:space="preserve">2.780</w:t>
            </w:r>
          </w:p>
        </w:tc>
        <w:tc>
          <w:tcPr/>
          <w:p>
            <w:pPr>
              <w:pStyle w:val="Compact"/>
              <w:jc w:val="left"/>
            </w:pPr>
            <w:r>
              <w:t xml:space="preserve">9.05%</w:t>
            </w:r>
          </w:p>
        </w:tc>
      </w:tr>
      <w:tr>
        <w:tc>
          <w:tcPr/>
          <w:p>
            <w:pPr>
              <w:pStyle w:val="Compact"/>
              <w:jc w:val="left"/>
            </w:pPr>
            <w:r>
              <w:t xml:space="preserve">Scope 3 (Upstream &amp; Downstream Value Chain)</w:t>
            </w:r>
          </w:p>
        </w:tc>
        <w:tc>
          <w:tcPr/>
          <w:p>
            <w:pPr>
              <w:pStyle w:val="Compact"/>
              <w:jc w:val="left"/>
            </w:pPr>
            <w:r>
              <w:t xml:space="preserve">27.894</w:t>
            </w:r>
          </w:p>
        </w:tc>
        <w:tc>
          <w:tcPr/>
          <w:p>
            <w:pPr>
              <w:pStyle w:val="Compact"/>
              <w:jc w:val="left"/>
            </w:pPr>
            <w:r>
              <w:t xml:space="preserve">90.79%</w:t>
            </w:r>
          </w:p>
        </w:tc>
      </w:tr>
      <w:tr>
        <w:tc>
          <w:tcPr/>
          <w:p>
            <w:pPr>
              <w:pStyle w:val="Compact"/>
              <w:jc w:val="left"/>
            </w:pPr>
            <w:r>
              <w:t xml:space="preserve">Total PCF</w:t>
            </w:r>
          </w:p>
        </w:tc>
        <w:tc>
          <w:tcPr/>
          <w:p>
            <w:pPr>
              <w:pStyle w:val="Compact"/>
              <w:jc w:val="left"/>
            </w:pPr>
            <w:r>
              <w:t xml:space="preserve">30.724</w:t>
            </w:r>
          </w:p>
        </w:tc>
        <w:tc>
          <w:tcPr/>
          <w:p>
            <w:pPr>
              <w:pStyle w:val="Compact"/>
              <w:jc w:val="left"/>
            </w:pPr>
            <w:r>
              <w:t xml:space="preserve">100.00%</w:t>
            </w:r>
          </w:p>
        </w:tc>
      </w:tr>
    </w:tbl>
    <w:p>
      <w:pPr>
        <w:pStyle w:val="BodyText"/>
      </w:pPr>
      <w:r>
        <w:rPr>
          <w:iCs/>
          <w:i/>
        </w:rPr>
        <w:t xml:space="preserve">Note: Scope 3 includes Material Acquisition, Transportation, Use Phase, and End-of-Life.</w:t>
      </w:r>
    </w:p>
    <w:p>
      <w:r>
        <w:pict>
          <v:rect style="width:0;height:1.5pt" o:hralign="center" o:hrstd="t" o:hr="t"/>
        </w:pict>
      </w:r>
    </w:p>
    <w:bookmarkEnd w:id="44"/>
    <w:bookmarkEnd w:id="45"/>
    <w:bookmarkStart w:id="49" w:name="review-recommendations"/>
    <w:p>
      <w:pPr>
        <w:pStyle w:val="Heading1"/>
      </w:pPr>
      <w:r>
        <w:t xml:space="preserve">6. Review &amp; Recommendations</w:t>
      </w:r>
    </w:p>
    <w:bookmarkStart w:id="46" w:name="hotspot-identification"/>
    <w:p>
      <w:pPr>
        <w:pStyle w:val="Heading2"/>
      </w:pPr>
      <w:r>
        <w:t xml:space="preserve">6.1. Hotspot Identification</w:t>
      </w:r>
    </w:p>
    <w:p>
      <w:pPr>
        <w:pStyle w:val="FirstParagraph"/>
      </w:pPr>
      <w:r>
        <w:t xml:space="preserve">The analysis clearly identifies the **Use Phase** as the most significant contributor to the product\'s carbon footprint, accounting for approximately 91.43% of total emissions. This is largely due to the energy consumption of</w:t>
      </w:r>
      <w:r>
        <w:t xml:space="preserve"> </w:t>
      </w:r>
      <w:r>
        <w:rPr>
          <w:bCs/>
          <w:b/>
        </w:rPr>
        <w:t xml:space="preserve">riidrrlhom</w:t>
      </w:r>
      <w:r>
        <w:t xml:space="preserve"> </w:t>
      </w:r>
      <w:r>
        <w:t xml:space="preserve">over its estimated 5-year lifespan.</w:t>
      </w:r>
    </w:p>
    <w:p>
      <w:pPr>
        <w:pStyle w:val="BodyText"/>
      </w:pPr>
      <w:r>
        <w:t xml:space="preserve">Other notable hotspots include **Material Acquisition &amp; Pre-processing** (12.87%) and **Manufacturing** (10.35%, primarily Scope 2 electricity). Transportation, while essential, represents a relatively small portion (0.83%). The **End-of-Life** stage demonstrates a net avoided emission, indicating effective recycling and circular economy impacts.</w:t>
      </w:r>
    </w:p>
    <w:bookmarkEnd w:id="46"/>
    <w:bookmarkStart w:id="47" w:name="reliability-assessment"/>
    <w:p>
      <w:pPr>
        <w:pStyle w:val="Heading2"/>
      </w:pPr>
      <w:r>
        <w:t xml:space="preserve">6.2. Reliability Assessment</w:t>
      </w:r>
    </w:p>
    <w:p>
      <w:pPr>
        <w:pStyle w:val="FirstParagraph"/>
      </w:pPr>
      <w:r>
        <w:t xml:space="preserve">The reliability of this PCF is considered high, primarily due to:</w:t>
      </w:r>
    </w:p>
    <w:p>
      <w:pPr>
        <w:numPr>
          <w:ilvl w:val="0"/>
          <w:numId w:val="1017"/>
        </w:numPr>
        <w:pStyle w:val="Compact"/>
      </w:pPr>
      <w:r>
        <w:t xml:space="preserve">Adherence to the robust</w:t>
      </w:r>
      <w:r>
        <w:t xml:space="preserve"> </w:t>
      </w:r>
      <w:r>
        <w:rPr>
          <w:bCs/>
          <w:b/>
        </w:rPr>
        <w:t xml:space="preserve">GHG Protocol</w:t>
      </w:r>
      <w:r>
        <w:t xml:space="preserve"> </w:t>
      </w:r>
      <w:r>
        <w:t xml:space="preserve">accounting standard.</w:t>
      </w:r>
    </w:p>
    <w:p>
      <w:pPr>
        <w:numPr>
          <w:ilvl w:val="0"/>
          <w:numId w:val="1017"/>
        </w:numPr>
        <w:pStyle w:val="Compact"/>
      </w:pPr>
      <w:r>
        <w:t xml:space="preserve">Utilization of detailed, product-specific BOM data for material impact calculations.</w:t>
      </w:r>
    </w:p>
    <w:p>
      <w:pPr>
        <w:numPr>
          <w:ilvl w:val="0"/>
          <w:numId w:val="1017"/>
        </w:numPr>
        <w:pStyle w:val="Compact"/>
      </w:pPr>
      <w:r>
        <w:t xml:space="preserve">Incorporation of specific logistical and energy consumption data provided.</w:t>
      </w:r>
    </w:p>
    <w:p>
      <w:pPr>
        <w:numPr>
          <w:ilvl w:val="0"/>
          <w:numId w:val="1017"/>
        </w:numPr>
        <w:pStyle w:val="Compact"/>
      </w:pPr>
      <w:r>
        <w:t xml:space="preserve">Application of industry-standard emission factors (e.g., Ecoinvent, DEFRA proxies for transport and energy).</w:t>
      </w:r>
    </w:p>
    <w:p>
      <w:pPr>
        <w:pStyle w:val="FirstParagraph"/>
      </w:pPr>
      <w:r>
        <w:t xml:space="preserve">However, some limitations exist, as certain parameters were based on illustrative or generalized industry averages due to the placeholder nature of the input data (e.g., specific transport modes, distances, and precise energy grid mixes for all supply chain stages, as well as the detailed breakdown of electronic waste for EoL). The exclusion of explicit land-use data and removals calculations due to lack of specificity within the provided BOM also presents a limitation, though the principles of the LSR Standard have been considered.</w:t>
      </w:r>
    </w:p>
    <w:bookmarkEnd w:id="47"/>
    <w:bookmarkStart w:id="48" w:name="recommendations-for-fioixgpgfv"/>
    <w:p>
      <w:pPr>
        <w:pStyle w:val="Heading2"/>
      </w:pPr>
      <w:r>
        <w:t xml:space="preserve">6.3. Recommendations for fioixgpgfv</w:t>
      </w:r>
    </w:p>
    <w:p>
      <w:pPr>
        <w:numPr>
          <w:ilvl w:val="0"/>
          <w:numId w:val="1018"/>
        </w:numPr>
        <w:pStyle w:val="Compact"/>
      </w:pPr>
      <w:r>
        <w:rPr>
          <w:bCs/>
          <w:b/>
        </w:rPr>
        <w:t xml:space="preserve">Focus on Use Phase Optimization:</w:t>
      </w:r>
      <w:r>
        <w:t xml:space="preserve"> </w:t>
      </w:r>
      <w:r>
        <w:t xml:space="preserve">Given its dominant impact, efforts should be concentrated on improving the energy efficiency of</w:t>
      </w:r>
      <w:r>
        <w:t xml:space="preserve"> </w:t>
      </w:r>
      <w:r>
        <w:rPr>
          <w:bCs/>
          <w:b/>
        </w:rPr>
        <w:t xml:space="preserve">riidrrlhom</w:t>
      </w:r>
      <w:r>
        <w:t xml:space="preserve"> </w:t>
      </w:r>
      <w:r>
        <w:t xml:space="preserve">during its operational lifespan. This could include exploring lower power consumption components, optimizing software/firmware for energy savings, and educating users on energy-efficient usage.</w:t>
      </w:r>
    </w:p>
    <w:p>
      <w:pPr>
        <w:numPr>
          <w:ilvl w:val="0"/>
          <w:numId w:val="1018"/>
        </w:numPr>
        <w:pStyle w:val="Compact"/>
      </w:pPr>
      <w:r>
        <w:rPr>
          <w:bCs/>
          <w:b/>
        </w:rPr>
        <w:t xml:space="preserve">Increase Renewable Energy Sourcing:</w:t>
      </w:r>
      <w:r>
        <w:t xml:space="preserve"> </w:t>
      </w:r>
      <w:r>
        <w:t xml:space="preserve">While 50% renewable energy usage is commendable, increasing this percentage for manufacturing operations in China would further reduce Scope 2 emissions. This could involve direct renewable energy procurement or investments in off-site renewable projects.</w:t>
      </w:r>
    </w:p>
    <w:p>
      <w:pPr>
        <w:numPr>
          <w:ilvl w:val="0"/>
          <w:numId w:val="1018"/>
        </w:numPr>
        <w:pStyle w:val="Compact"/>
      </w:pPr>
      <w:r>
        <w:rPr>
          <w:bCs/>
          <w:b/>
        </w:rPr>
        <w:t xml:space="preserve">Supply Chain Engagement:</w:t>
      </w:r>
      <w:r>
        <w:t xml:space="preserve"> </w:t>
      </w:r>
      <w:r>
        <w:t xml:space="preserve">Engage with material suppliers to explore opportunities for lower-carbon alternatives or increased use of recycled content in upstream materials, particularly for plastics and specialized electronics.</w:t>
      </w:r>
    </w:p>
    <w:p>
      <w:pPr>
        <w:numPr>
          <w:ilvl w:val="0"/>
          <w:numId w:val="1018"/>
        </w:numPr>
        <w:pStyle w:val="Compact"/>
      </w:pPr>
      <w:r>
        <w:rPr>
          <w:bCs/>
          <w:b/>
        </w:rPr>
        <w:t xml:space="preserve">Enhance Circularity:</w:t>
      </w:r>
      <w:r>
        <w:t xml:space="preserve"> </w:t>
      </w:r>
      <w:r>
        <w:t xml:space="preserve">Continue to strengthen and expand circular/take-back programs, and explore design-for-disassembly and material recovery strategies to maximize the positive impact of End-of-Life management. This will further reduce the net carbon footprint.</w:t>
      </w:r>
    </w:p>
    <w:p>
      <w:pPr>
        <w:numPr>
          <w:ilvl w:val="0"/>
          <w:numId w:val="1018"/>
        </w:numPr>
        <w:pStyle w:val="Compact"/>
      </w:pPr>
      <w:r>
        <w:rPr>
          <w:bCs/>
          <w:b/>
        </w:rPr>
        <w:t xml:space="preserve">Detailed LSR Data Collection:</w:t>
      </w:r>
      <w:r>
        <w:t xml:space="preserve"> </w:t>
      </w:r>
      <w:r>
        <w:t xml:space="preserve">If</w:t>
      </w:r>
      <w:r>
        <w:t xml:space="preserve"> </w:t>
      </w:r>
      <w:r>
        <w:rPr>
          <w:bCs/>
          <w:b/>
        </w:rPr>
        <w:t xml:space="preserve">fioixgpgfv</w:t>
      </w:r>
      <w:r>
        <w:t xml:space="preserve"> </w:t>
      </w:r>
      <w:r>
        <w:t xml:space="preserve">has significant land-related activities in its value chain (e.g., sourcing of bio-based materials), establishing systems for collecting detailed land-use and land-change data would be crucial for full compliance with the LSR Standard as it becomes mandatory.</w:t>
      </w:r>
    </w:p>
    <w:p>
      <w:pPr>
        <w:pStyle w:val="FirstParagraph"/>
      </w:pPr>
      <w:r>
        <w:t xml:space="preserve">By addressing these areas,</w:t>
      </w:r>
      <w:r>
        <w:t xml:space="preserve"> </w:t>
      </w:r>
      <w:r>
        <w:rPr>
          <w:bCs/>
          <w:b/>
        </w:rPr>
        <w:t xml:space="preserve">fioixgpgfv</w:t>
      </w:r>
      <w:r>
        <w:t xml:space="preserve"> </w:t>
      </w:r>
      <w:r>
        <w:t xml:space="preserve">can significantly reduce the overall environmental footprint of</w:t>
      </w:r>
      <w:r>
        <w:t xml:space="preserve"> </w:t>
      </w:r>
      <w:r>
        <w:rPr>
          <w:bCs/>
          <w:b/>
        </w:rPr>
        <w:t xml:space="preserve">riidrrlhom</w:t>
      </w:r>
      <w:r>
        <w:t xml:space="preserve"> </w:t>
      </w:r>
      <w:r>
        <w:t xml:space="preserve">and demonstrate strong commitment to sustainability.</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riidrrlhom</dc:title>
  <dc:creator/>
  <dc:description>Detailed Product Carbon Footprint (PCF) analysis report for riidrrlhom by fioixgpgfv, adhering to GHG Protocol and 2026 LSR Update, conducted by Senior Sustainability Consultant zgprexynvx.</dc:description>
  <dc:language>en</dc:language>
  <cp:keywords/>
  <dcterms:created xsi:type="dcterms:W3CDTF">2026-07-15T01:41:16Z</dcterms:created>
  <dcterms:modified xsi:type="dcterms:W3CDTF">2026-07-15T01:41:16Z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