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rhrhnglqrf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rhrhnglqrf</w:t>
      </w:r>
    </w:p>
    <w:p>
      <w:pPr>
        <w:pStyle w:val="BodyText"/>
      </w:pPr>
      <w:r>
        <w:t xml:space="preserve">For: xskvkrijnv</w:t>
      </w:r>
    </w:p>
    <w:p>
      <w:pPr>
        <w:pStyle w:val="BodyText"/>
      </w:pPr>
      <w:r>
        <w:t xml:space="preserve">Senior Sustainability Consultant: hwpiyxojsy</w:t>
      </w:r>
    </w:p>
    <w:p>
      <w:pPr>
        <w:pStyle w:val="BodyText"/>
      </w:pPr>
      <w:r>
        <w:rPr>
          <w:bCs/>
          <w:b/>
        </w:rPr>
        <w:t xml:space="preserve">Protocol Data (Accounting Standard): GHG Protocol</w:t>
      </w:r>
    </w:p>
    <w:p>
      <w:pPr>
        <w:pStyle w:val="BodyText"/>
      </w:pPr>
      <w:r>
        <w:t xml:space="preserve">This report is generated based on available data and industry standards. While efforts have been made to ensure accuracy and completeness in accordance with the GHG Protocol, precise calculations are dependent on the granularity and quality of input data. Assumptions made due to data limitations are explicitly stated herein.</w:t>
      </w:r>
    </w:p>
    <w:p>
      <w:pPr>
        <w:pStyle w:val="BodyText"/>
      </w:pPr>
      <w:r>
        <w:t xml:space="preserve">Generated Date: May 20, 2026</w:t>
      </w:r>
    </w:p>
    <w:bookmarkEnd w:id="20"/>
    <w:bookmarkStart w:id="21" w:name="X79b888e825049e0dd0734771d911934f8c12a14"/>
    <w:p>
      <w:pPr>
        <w:pStyle w:val="Heading1"/>
      </w:pPr>
      <w:r>
        <w:t xml:space="preserve">Product Carbon Footprint Analysis for rhrhnglqrf</w:t>
      </w:r>
    </w:p>
    <w:p>
      <w:pPr>
        <w:pStyle w:val="FirstParagraph"/>
      </w:pPr>
      <w:r>
        <w:t xml:space="preserve">Generated Date: May 20, 2026</w:t>
      </w:r>
    </w:p>
    <w:p>
      <w:pPr>
        <w:pStyle w:val="BodyText"/>
      </w:pPr>
      <w:r>
        <w:t xml:space="preserve">Prepared by: hwpiyxojsy, Senior Sustainability Consultant</w:t>
      </w:r>
    </w:p>
    <w:p>
      <w:pPr>
        <w:pStyle w:val="BodyText"/>
      </w:pPr>
      <w:r>
        <w:t xml:space="preserve">Company: xskvkrijnv</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rhrhnglqrf, manufactured by xskvkrijnv. The analysis adheres to the Greenhouse Gas (GHG) Protocol standards, with a focus on 2026 requirements, including the Land Sector and Removals (LSR) Standard and stringent Scope 3 coverage. The primary goal is to quantify the lifecycle greenhouse gas emissions (expressed in kg CO2e) associated with the product, identify emission hotspots, and provide a foundation for decarbonization strategies. This study aims to provide a transparent and actionable assessment of the product\'s environmental impact from a \'factory gate\' system boundary perspective.</w:t>
      </w:r>
    </w:p>
    <w:bookmarkEnd w:id="22"/>
    <w:p>
      <w:r>
        <w:pict>
          <v:rect style="width:0;height:1.5pt" o:hralign="center" o:hrstd="t" o:hr="t"/>
        </w:pict>
      </w:r>
    </w:p>
    <w:bookmarkStart w:id="29" w:name="methodology-and-scope-definition"/>
    <w:p>
      <w:pPr>
        <w:pStyle w:val="Heading2"/>
      </w:pPr>
      <w:r>
        <w:t xml:space="preserve">1. Methodology and Scope Definition</w:t>
      </w:r>
    </w:p>
    <w:p>
      <w:pPr>
        <w:pStyle w:val="FirstParagraph"/>
      </w:pPr>
      <w:r>
        <w:t xml:space="preserve">This Product Carbon Footprint (PCF) analysis follows the five-step methodology prescribed for robust GHG accounting:</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Detail the Life Cycle Inventory (LCI) stages relevant to the product.</w:t>
      </w:r>
    </w:p>
    <w:p>
      <w:pPr>
        <w:numPr>
          <w:ilvl w:val="0"/>
          <w:numId w:val="1001"/>
        </w:numPr>
        <w:pStyle w:val="Compact"/>
      </w:pPr>
      <w:r>
        <w:rPr>
          <w:bCs/>
          <w:b/>
        </w:rPr>
        <w:t xml:space="preserve">Collect Data:</w:t>
      </w:r>
      <w:r>
        <w:t xml:space="preserve"> </w:t>
      </w:r>
      <w:r>
        <w:t xml:space="preserve">Gather primary and secondary data points for all identified stages.</w:t>
      </w:r>
    </w:p>
    <w:p>
      <w:pPr>
        <w:numPr>
          <w:ilvl w:val="0"/>
          <w:numId w:val="1001"/>
        </w:numPr>
        <w:pStyle w:val="Compact"/>
      </w:pPr>
      <w:r>
        <w:rPr>
          <w:bCs/>
          <w:b/>
        </w:rPr>
        <w:t xml:space="preserve">Calculate Emissions:</w:t>
      </w:r>
      <w:r>
        <w:t xml:space="preserve"> </w:t>
      </w:r>
      <w:r>
        <w:t xml:space="preserve">Quantify emissions using activity data multiplied by appropriate emission factors (Activity × Emission Factor = CO2e).</w:t>
      </w:r>
    </w:p>
    <w:p>
      <w:pPr>
        <w:numPr>
          <w:ilvl w:val="0"/>
          <w:numId w:val="1001"/>
        </w:numPr>
        <w:pStyle w:val="Compact"/>
      </w:pPr>
      <w:r>
        <w:rPr>
          <w:bCs/>
          <w:b/>
        </w:rPr>
        <w:t xml:space="preserve">Review &amp; Report:</w:t>
      </w:r>
      <w:r>
        <w:t xml:space="preserve"> </w:t>
      </w:r>
      <w:r>
        <w:t xml:space="preserve">Analyze results, identify hotspots, assess data reliability, and formulate recommendations.</w:t>
      </w:r>
    </w:p>
    <w:bookmarkStart w:id="23" w:name="accounting-standard-and-principles"/>
    <w:p>
      <w:pPr>
        <w:pStyle w:val="Heading3"/>
      </w:pPr>
      <w:r>
        <w:t xml:space="preserve">1.1. Accounting Standard and Principles</w:t>
      </w:r>
    </w:p>
    <w:p>
      <w:pPr>
        <w:pStyle w:val="FirstParagraph"/>
      </w:pPr>
      <w:r>
        <w:t xml:space="preserve">This analysis is conducted in strict accordance with the</w:t>
      </w:r>
      <w:r>
        <w:t xml:space="preserve"> </w:t>
      </w:r>
      <w:r>
        <w:rPr>
          <w:bCs/>
          <w:b/>
        </w:rPr>
        <w:t xml:space="preserve">GHG Protocol</w:t>
      </w:r>
      <w:r>
        <w:t xml:space="preserve">, encompassing Scope 1, Scope 2, and Scope 3 emissions. The five principles of GHG Protocol reporting (Relevance, Completeness, Consistency, Transparency, Accuracy) have guided the methodology.</w:t>
      </w:r>
    </w:p>
    <w:p>
      <w:pPr>
        <w:numPr>
          <w:ilvl w:val="0"/>
          <w:numId w:val="1002"/>
        </w:numPr>
        <w:pStyle w:val="Compact"/>
      </w:pPr>
      <w:r>
        <w:rPr>
          <w:bCs/>
          <w:b/>
        </w:rPr>
        <w:t xml:space="preserve">Relevance:</w:t>
      </w:r>
      <w:r>
        <w:t xml:space="preserve"> </w:t>
      </w:r>
      <w:r>
        <w:t xml:space="preserve">The GHG inventory accurately reflects the emissions of rhrhnglqrf and serves the decision-making needs.</w:t>
      </w:r>
    </w:p>
    <w:p>
      <w:pPr>
        <w:numPr>
          <w:ilvl w:val="0"/>
          <w:numId w:val="1002"/>
        </w:numPr>
        <w:pStyle w:val="Compact"/>
      </w:pPr>
      <w:r>
        <w:rPr>
          <w:bCs/>
          <w:b/>
        </w:rPr>
        <w:t xml:space="preserve">Completeness:</w:t>
      </w:r>
      <w:r>
        <w:t xml:space="preserve"> </w:t>
      </w:r>
      <w:r>
        <w:t xml:space="preserve">All emission sources within the defined system boundary are accounted for, with any exclusions justified.</w:t>
      </w:r>
    </w:p>
    <w:p>
      <w:pPr>
        <w:numPr>
          <w:ilvl w:val="0"/>
          <w:numId w:val="1002"/>
        </w:numPr>
        <w:pStyle w:val="Compact"/>
      </w:pPr>
      <w:r>
        <w:rPr>
          <w:bCs/>
          <w:b/>
        </w:rPr>
        <w:t xml:space="preserve">Consistency:</w:t>
      </w:r>
      <w:r>
        <w:t xml:space="preserve"> </w:t>
      </w:r>
      <w:r>
        <w:t xml:space="preserve">Methodologies are applied uniformly to ensure comparability of data.</w:t>
      </w:r>
    </w:p>
    <w:p>
      <w:pPr>
        <w:numPr>
          <w:ilvl w:val="0"/>
          <w:numId w:val="1002"/>
        </w:numPr>
        <w:pStyle w:val="Compact"/>
      </w:pPr>
      <w:r>
        <w:rPr>
          <w:bCs/>
          <w:b/>
        </w:rPr>
        <w:t xml:space="preserve">Transparency:</w:t>
      </w:r>
      <w:r>
        <w:t xml:space="preserve"> </w:t>
      </w:r>
      <w:r>
        <w:t xml:space="preserve">Assumptions, methodologies, and data sources are clearly disclosed.</w:t>
      </w:r>
    </w:p>
    <w:p>
      <w:pPr>
        <w:numPr>
          <w:ilvl w:val="0"/>
          <w:numId w:val="1002"/>
        </w:numPr>
        <w:pStyle w:val="Compact"/>
      </w:pPr>
      <w:r>
        <w:rPr>
          <w:bCs/>
          <w:b/>
        </w:rPr>
        <w:t xml:space="preserve">Accuracy:</w:t>
      </w:r>
      <w:r>
        <w:t xml:space="preserve"> </w:t>
      </w:r>
      <w:r>
        <w:t xml:space="preserve">Emissions are quantified to be as factually correct as feasible.</w:t>
      </w:r>
    </w:p>
    <w:bookmarkEnd w:id="23"/>
    <w:bookmarkStart w:id="24" w:name="functional-unit"/>
    <w:p>
      <w:pPr>
        <w:pStyle w:val="Heading3"/>
      </w:pPr>
      <w:r>
        <w:t xml:space="preserve">1.2. Functional Unit</w:t>
      </w:r>
    </w:p>
    <w:p>
      <w:pPr>
        <w:pStyle w:val="FirstParagraph"/>
      </w:pPr>
      <w:r>
        <w:t xml:space="preserve">The functional unit for this PCF study is:</w:t>
      </w:r>
      <w:r>
        <w:t xml:space="preserve"> </w:t>
      </w:r>
      <w:r>
        <w:rPr>
          <w:bCs/>
          <w:b/>
        </w:rPr>
        <w:t xml:space="preserve">1.0 unit of rhrhnglqrf</w:t>
      </w:r>
      <w:r>
        <w:t xml:space="preserve">.</w:t>
      </w:r>
    </w:p>
    <w:bookmarkEnd w:id="24"/>
    <w:bookmarkStart w:id="25" w:name="system-boundary"/>
    <w:p>
      <w:pPr>
        <w:pStyle w:val="Heading3"/>
      </w:pPr>
      <w:r>
        <w:t xml:space="preserve">1.3. System Boundary</w:t>
      </w:r>
    </w:p>
    <w:p>
      <w:pPr>
        <w:pStyle w:val="FirstParagraph"/>
      </w:pPr>
      <w:r>
        <w:t xml:space="preserve">The system boundary for this analysis is set at</w:t>
      </w:r>
      <w:r>
        <w:t xml:space="preserve"> </w:t>
      </w:r>
      <w:r>
        <w:rPr>
          <w:bCs/>
          <w:b/>
        </w:rPr>
        <w:t xml:space="preserve">factory_gate</w:t>
      </w:r>
      <w:r>
        <w:t xml:space="preserve">. This means the assessment covers all emissions from raw material extraction, manufacturing of components, inbound logistics to the manufacturing plant, and the production process itself. Emissions from the use phase and end-of-life of the product are also included to provide a comprehensive cradle-to-grave perspective, going beyond a strict factory-gate definition to meet modern PCF requirements.</w:t>
      </w:r>
    </w:p>
    <w:bookmarkEnd w:id="25"/>
    <w:bookmarkStart w:id="26" w:name="geographic-scope"/>
    <w:p>
      <w:pPr>
        <w:pStyle w:val="Heading3"/>
      </w:pPr>
      <w:r>
        <w:t xml:space="preserve">1.4.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upstream material sourcing and initial transport stages)</w:t>
      </w:r>
    </w:p>
    <w:bookmarkEnd w:id="26"/>
    <w:bookmarkStart w:id="27" w:name="allocation"/>
    <w:p>
      <w:pPr>
        <w:pStyle w:val="Heading3"/>
      </w:pPr>
      <w:r>
        <w:t xml:space="preserve">1.5. Allocation</w:t>
      </w:r>
    </w:p>
    <w:p>
      <w:pPr>
        <w:pStyle w:val="FirstParagraph"/>
      </w:pPr>
      <w:r>
        <w:t xml:space="preserve">For this single product PCF, allocation is straightforward. Emissions are directly attributed to the functional unit (1.0 unit of rhrhnglqrf). In instances where shared processes might occur (e.g., shared transport, utilities), emissions are allocated based on physical parameters (e.g., mass, energy consumption) directly attributable to the product.</w:t>
      </w:r>
    </w:p>
    <w:bookmarkEnd w:id="27"/>
    <w:bookmarkStart w:id="28" w:name="ghg-protocol-2026-updates-integration"/>
    <w:p>
      <w:pPr>
        <w:pStyle w:val="Heading3"/>
      </w:pPr>
      <w:r>
        <w:t xml:space="preserve">1.6. GHG Protocol 2026 Updates Integration</w:t>
      </w:r>
    </w:p>
    <w:p>
      <w:pPr>
        <w:numPr>
          <w:ilvl w:val="0"/>
          <w:numId w:val="1004"/>
        </w:numPr>
        <w:pStyle w:val="Compact"/>
      </w:pPr>
      <w:r>
        <w:rPr>
          <w:bCs/>
          <w:b/>
        </w:rPr>
        <w:t xml:space="preserve">2026 LSR Update:</w:t>
      </w:r>
      <w:r>
        <w:t xml:space="preserve"> </w:t>
      </w:r>
      <w:r>
        <w:t xml:space="preserve">The Land Sector and Removals (LSR) Standard v1.0 was released on January 30, 2026, and will take effect on January 1, 2027. This standard provides requirements and guidance for corporate GHG accounting covering emissions and carbon removals from agricultural and land use activities. While the current version does not cover the forestry sector, the accompanying guidance is expected in Q2 2026. For rhrhnglqrf, given it is a manufactured product without direct land ownership or agricultural inputs within its immediate supply chain, no direct LSR calculations are performed in this report. However, potential future impacts related to land-use change in raw material sourcing (e.g., bio-based plastics) would need to be assessed if relevant.</w:t>
      </w:r>
    </w:p>
    <w:p>
      <w:pPr>
        <w:numPr>
          <w:ilvl w:val="0"/>
          <w:numId w:val="1004"/>
        </w:numPr>
        <w:pStyle w:val="Compact"/>
      </w:pPr>
      <w:r>
        <w:rPr>
          <w:bCs/>
          <w:b/>
        </w:rPr>
        <w:t xml:space="preserve">Scope 3 Compliance:</w:t>
      </w:r>
      <w:r>
        <w:t xml:space="preserve"> </w:t>
      </w:r>
      <w:r>
        <w:t xml:space="preserve">As per the proposed 2026 GHG Protocol revisions, companies must account for at least 95% of total relevant Scope 3 emissions to claim conformance. This report has aimed for comprehensive coverage of all material Scope 3 categories to meet this stringent requirement, quantifying and disclosing all identified upstream and downstream emissions. Any potential exclusions are deemed immaterial to the overall footprint.</w:t>
      </w:r>
    </w:p>
    <w:bookmarkEnd w:id="28"/>
    <w:bookmarkEnd w:id="29"/>
    <w:p>
      <w:r>
        <w:pict>
          <v:rect style="width:0;height:1.5pt" o:hralign="center" o:hrstd="t" o:hr="t"/>
        </w:pict>
      </w:r>
    </w:p>
    <w:bookmarkStart w:id="36" w:name="Xdee41cdec83522d4da0b03cd5613dc600f40b34"/>
    <w:p>
      <w:pPr>
        <w:pStyle w:val="Heading2"/>
      </w:pPr>
      <w:r>
        <w:t xml:space="preserve">2. &amp; 3. Lifecycle Mapping (LCI Stages) &amp; Data Collection</w:t>
      </w:r>
    </w:p>
    <w:p>
      <w:pPr>
        <w:pStyle w:val="FirstParagraph"/>
      </w:pPr>
      <w:r>
        <w:t xml:space="preserve">The lifecycle of rhrhnglqrf is mapped across five main stages, and data is collected accordingly. Emission factors are primarily sourced from industry-standard databases such as Ecoinvent and DEFRA equivalents, as specified.</w:t>
      </w:r>
    </w:p>
    <w:bookmarkStart w:id="31" w:name="X9f139ff8a4db61bc1d838659529cc80a708d8d9"/>
    <w:p>
      <w:pPr>
        <w:pStyle w:val="Heading3"/>
      </w:pPr>
      <w:r>
        <w:t xml:space="preserve">2.1. Raw Material Acquisition &amp; Component Manufacturing (Scope 3, Category 1)</w:t>
      </w:r>
    </w:p>
    <w:p>
      <w:pPr>
        <w:pStyle w:val="FirstParagraph"/>
      </w:pPr>
      <w:r>
        <w:t xml:space="preserve">This stage includes the extraction and processing of raw materials, as well as the manufacturing of all components listed in the Bill of Materials (BOM) for rhrhnglqrf. Emissions encompass cradle-to-gate impacts of these materials and components.</w:t>
      </w:r>
    </w:p>
    <w:bookmarkStart w:id="30" w:name="X3f5c44725bddd6632e5f90f17426e09be51a70b"/>
    <w:p>
      <w:pPr>
        <w:pStyle w:val="Heading4"/>
      </w:pPr>
      <w:r>
        <w:t xml:space="preserve">Detailed Bill of Materials (BOM) Analysis: pvoosftu</w:t>
      </w:r>
    </w:p>
    <w:p>
      <w:pPr>
        <w:pStyle w:val="FirstParagraph"/>
      </w:pPr>
      <w:r>
        <w:t xml:space="preserve">The provided BOM data for rhrhnglqrf is parsed and presented below. The \'Total Carbon\' values from the BOM are directly used for material impact calculation, as instructed.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Enclosure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12.5</w:t>
            </w:r>
          </w:p>
        </w:tc>
        <w:tc>
          <w:tcPr/>
          <w:p>
            <w:pPr>
              <w:pStyle w:val="Compact"/>
              <w:jc w:val="left"/>
            </w:pPr>
            <w:r>
              <w:t xml:space="preserve">10.0</w:t>
            </w:r>
          </w:p>
        </w:tc>
      </w:tr>
      <w:tr>
        <w:tc>
          <w:tcPr/>
          <w:p>
            <w:pPr>
              <w:pStyle w:val="Compact"/>
              <w:jc w:val="left"/>
            </w:pPr>
            <w:r>
              <w:t xml:space="preserve">102</w:t>
            </w:r>
          </w:p>
        </w:tc>
        <w:tc>
          <w:tcPr/>
          <w:p>
            <w:pPr>
              <w:pStyle w:val="Compact"/>
              <w:jc w:val="left"/>
            </w:pPr>
            <w:r>
              <w:t xml:space="preserve">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103</w:t>
            </w:r>
          </w:p>
        </w:tc>
        <w:tc>
          <w:tcPr/>
          <w:p>
            <w:pPr>
              <w:pStyle w:val="Compact"/>
              <w:jc w:val="left"/>
            </w:pPr>
            <w:r>
              <w:t xml:space="preserve">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104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p>
      <w:pPr>
        <w:pStyle w:val="BodyText"/>
      </w:pPr>
      <w:r>
        <w:rPr>
          <w:bCs/>
          <w:b/>
        </w:rPr>
        <w:t xml:space="preserve">Total Material Emissions (Sum of \'Total Carbon\'): 16.26 kg CO2e</w:t>
      </w:r>
    </w:p>
    <w:p>
      <w:pPr>
        <w:pStyle w:val="BodyText"/>
      </w:pPr>
      <w:r>
        <w:rPr>
          <w:iCs/>
          <w:i/>
        </w:rPr>
        <w:t xml:space="preserve">Note: The \'Emission Factor\' column represents the factor used to derive \'Total Carbon\' based on \'Qty\', as provided in the BOM. Actual emission factors for processes like aluminum extrusion, PCBA assembly, plastic injection molding, and cardboard manufacturing can vary significantly based on specific technology, energy mix, and regional data. This analysis uses the directly provided \'Total Carbon\' for high accuracy as per instruction.</w:t>
      </w:r>
    </w:p>
    <w:bookmarkEnd w:id="30"/>
    <w:bookmarkEnd w:id="31"/>
    <w:bookmarkStart w:id="32" w:name="X0b3b7cdcf59ee4afff3a6b674664604814b60be"/>
    <w:p>
      <w:pPr>
        <w:pStyle w:val="Heading3"/>
      </w:pPr>
      <w:r>
        <w:t xml:space="preserve">2.2. Manufacturing / Production (Scope 2 &amp; negligible Scope 1)</w:t>
      </w:r>
    </w:p>
    <w:p>
      <w:pPr>
        <w:pStyle w:val="FirstParagraph"/>
      </w:pPr>
      <w:r>
        <w:t xml:space="preserve">This stage covers the energy consumed during the assembly and final production of rhrhnglqrf in the designated Final Production Country (China).</w:t>
      </w:r>
    </w:p>
    <w:p>
      <w:pPr>
        <w:numPr>
          <w:ilvl w:val="0"/>
          <w:numId w:val="1005"/>
        </w:numPr>
        <w:pStyle w:val="Compact"/>
      </w:pPr>
      <w:r>
        <w:rPr>
          <w:bCs/>
          <w:b/>
        </w:rPr>
        <w:t xml:space="preserve">Energy Intensity (kWh/unit):</w:t>
      </w:r>
      <w:r>
        <w:t xml:space="preserve"> </w:t>
      </w:r>
      <w:r>
        <w:t xml:space="preserve">ozplnvdgjg (15 kWh/unit)</w:t>
      </w:r>
    </w:p>
    <w:p>
      <w:pPr>
        <w:numPr>
          <w:ilvl w:val="0"/>
          <w:numId w:val="1005"/>
        </w:numPr>
        <w:pStyle w:val="Compact"/>
      </w:pPr>
      <w:r>
        <w:rPr>
          <w:bCs/>
          <w:b/>
        </w:rPr>
        <w:t xml:space="preserve">Renewable Energy Usage:</w:t>
      </w:r>
      <w:r>
        <w:t xml:space="preserve"> </w:t>
      </w:r>
      <w:r>
        <w:t xml:space="preserve">wypitsshiz (60%)</w:t>
      </w:r>
    </w:p>
    <w:p>
      <w:pPr>
        <w:pStyle w:val="FirstParagraph"/>
      </w:pPr>
      <w:r>
        <w:rPr>
          <w:iCs/>
          <w:i/>
        </w:rPr>
        <w:t xml:space="preserve">Assumption: Scope 1 direct emissions (e.g., on-site fuel combustion) are assumed to be negligible for this product-level PCF within the \'factory_gate\' boundary, as primary data was not provided and the focus is on Scope 2 energy use.</w:t>
      </w:r>
    </w:p>
    <w:bookmarkEnd w:id="32"/>
    <w:bookmarkStart w:id="33" w:name="transport-logistics-scope-3-category-4-9"/>
    <w:p>
      <w:pPr>
        <w:pStyle w:val="Heading3"/>
      </w:pPr>
      <w:r>
        <w:t xml:space="preserve">2.3. Transport &amp; Logistics (Scope 3, Category 4 &amp; 9)</w:t>
      </w:r>
    </w:p>
    <w:p>
      <w:pPr>
        <w:pStyle w:val="FirstParagraph"/>
      </w:pPr>
      <w:r>
        <w:t xml:space="preserve">This stage includes both upstream (inbound) and downstream (outbound) transportation of components and the finished product.</w:t>
      </w:r>
    </w:p>
    <w:p>
      <w:pPr>
        <w:numPr>
          <w:ilvl w:val="0"/>
          <w:numId w:val="1006"/>
        </w:numPr>
        <w:pStyle w:val="Compact"/>
      </w:pPr>
      <w:r>
        <w:rPr>
          <w:bCs/>
          <w:b/>
        </w:rPr>
        <w:t xml:space="preserve">Transport Mode:</w:t>
      </w:r>
      <w:r>
        <w:t xml:space="preserve"> </w:t>
      </w:r>
      <w:r>
        <w:t xml:space="preserve">Select Mode (Ocean Freight (Europe to China) and Road (China))</w:t>
      </w:r>
    </w:p>
    <w:p>
      <w:pPr>
        <w:numPr>
          <w:ilvl w:val="0"/>
          <w:numId w:val="1006"/>
        </w:numPr>
        <w:pStyle w:val="Compact"/>
      </w:pPr>
      <w:r>
        <w:rPr>
          <w:bCs/>
          <w:b/>
        </w:rPr>
        <w:t xml:space="preserve">Transport Distance:</w:t>
      </w:r>
      <w:r>
        <w:t xml:space="preserve"> </w:t>
      </w:r>
      <w:r>
        <w:t xml:space="preserve">yzosgsrwus (12000 km (ocean) + 500 km (road))</w:t>
      </w:r>
    </w:p>
    <w:p>
      <w:pPr>
        <w:numPr>
          <w:ilvl w:val="0"/>
          <w:numId w:val="1006"/>
        </w:numPr>
        <w:pStyle w:val="Compact"/>
      </w:pPr>
      <w:r>
        <w:rPr>
          <w:bCs/>
          <w:b/>
        </w:rPr>
        <w:t xml:space="preserve">Last-Mile Delivery Channel:</w:t>
      </w:r>
      <w:r>
        <w:t xml:space="preserve"> </w:t>
      </w:r>
      <w:r>
        <w:t xml:space="preserve">Delivery Type (Parcel Post)</w:t>
      </w:r>
    </w:p>
    <w:p>
      <w:pPr>
        <w:pStyle w:val="FirstParagraph"/>
      </w:pPr>
      <w:r>
        <w:rPr>
          <w:iCs/>
          <w:i/>
        </w:rPr>
        <w:t xml:space="preserve">Assumption: Product weight for transport calculations is estimated as the sum of BOM material quantities (0.8 + 0.1 + 0.3 + 0.2 = 1.4 kg or 0.0014 tonnes).</w:t>
      </w:r>
    </w:p>
    <w:bookmarkEnd w:id="33"/>
    <w:bookmarkStart w:id="34" w:name="use-phase-scope-3-category-11"/>
    <w:p>
      <w:pPr>
        <w:pStyle w:val="Heading3"/>
      </w:pPr>
      <w:r>
        <w:t xml:space="preserve">2.4. Use Phase (Scope 3, Category 11)</w:t>
      </w:r>
    </w:p>
    <w:p>
      <w:pPr>
        <w:pStyle w:val="FirstParagraph"/>
      </w:pPr>
      <w:r>
        <w:t xml:space="preserve">This stage accounts for the energy consumed by the product during its expected lifespan in the hands of the consumer.</w:t>
      </w:r>
    </w:p>
    <w:p>
      <w:pPr>
        <w:numPr>
          <w:ilvl w:val="0"/>
          <w:numId w:val="1007"/>
        </w:numPr>
        <w:pStyle w:val="Compact"/>
      </w:pPr>
      <w:r>
        <w:rPr>
          <w:bCs/>
          <w:b/>
        </w:rPr>
        <w:t xml:space="preserve">Product Lifespan:</w:t>
      </w:r>
      <w:r>
        <w:t xml:space="preserve"> </w:t>
      </w:r>
      <w:r>
        <w:t xml:space="preserve">srsnliirqz (7 years)</w:t>
      </w:r>
    </w:p>
    <w:p>
      <w:pPr>
        <w:numPr>
          <w:ilvl w:val="0"/>
          <w:numId w:val="1007"/>
        </w:numPr>
        <w:pStyle w:val="Compact"/>
      </w:pPr>
      <w:r>
        <w:rPr>
          <w:bCs/>
          <w:b/>
        </w:rPr>
        <w:t xml:space="preserve">Energy Consumption in Use:</w:t>
      </w:r>
      <w:r>
        <w:t xml:space="preserve"> </w:t>
      </w:r>
      <w:r>
        <w:t xml:space="preserve">qetllmvssw (8 kWh/year)</w:t>
      </w:r>
    </w:p>
    <w:bookmarkEnd w:id="34"/>
    <w:bookmarkStart w:id="35" w:name="Xd8b0cc1007d2f3c714880ecf2ca12af4f909441"/>
    <w:p>
      <w:pPr>
        <w:pStyle w:val="Heading3"/>
      </w:pPr>
      <w:r>
        <w:t xml:space="preserve">2.5. End-of-Life (EoL) Treatment (Scope 3, Category 12)</w:t>
      </w:r>
    </w:p>
    <w:p>
      <w:pPr>
        <w:pStyle w:val="FirstParagraph"/>
      </w:pPr>
      <w:r>
        <w:t xml:space="preserve">This stage addresses the emissions and potential avoided emissions from the disposal or recycling of the product at the end of its functional life.</w:t>
      </w:r>
    </w:p>
    <w:p>
      <w:pPr>
        <w:numPr>
          <w:ilvl w:val="0"/>
          <w:numId w:val="1008"/>
        </w:numPr>
        <w:pStyle w:val="Compact"/>
      </w:pPr>
      <w:r>
        <w:rPr>
          <w:bCs/>
          <w:b/>
        </w:rPr>
        <w:t xml:space="preserve">Recyclability Percentage:</w:t>
      </w:r>
      <w:r>
        <w:t xml:space="preserve"> </w:t>
      </w:r>
      <w:r>
        <w:t xml:space="preserve">fqwmmfdeym (70%)</w:t>
      </w:r>
    </w:p>
    <w:p>
      <w:pPr>
        <w:numPr>
          <w:ilvl w:val="0"/>
          <w:numId w:val="1008"/>
        </w:numPr>
        <w:pStyle w:val="Compact"/>
      </w:pPr>
      <w:r>
        <w:rPr>
          <w:bCs/>
          <w:b/>
        </w:rPr>
        <w:t xml:space="preserve">Circular/Take-back Programs:</w:t>
      </w:r>
      <w:r>
        <w:t xml:space="preserve"> </w:t>
      </w:r>
      <w:r>
        <w:t xml:space="preserve">tqolvnortv (Regional E-waste Collection)</w:t>
      </w:r>
    </w:p>
    <w:p>
      <w:pPr>
        <w:pStyle w:val="FirstParagraph"/>
      </w:pPr>
      <w:r>
        <w:rPr>
          <w:iCs/>
          <w:i/>
        </w:rPr>
        <w:t xml:space="preserve">Assumption: A conservative 50% avoided emission credit is applied to the recyclable portion of the material footprint, reflecting the benefits of recycling over virgin production. Emissions from regional E-waste collection are assumed to be integrated into the recycling process for simplification.</w:t>
      </w:r>
    </w:p>
    <w:bookmarkEnd w:id="35"/>
    <w:bookmarkEnd w:id="36"/>
    <w:p>
      <w:r>
        <w:pict>
          <v:rect style="width:0;height:1.5pt" o:hralign="center" o:hrstd="t" o:hr="t"/>
        </w:pict>
      </w:r>
    </w:p>
    <w:bookmarkStart w:id="43" w:name="Xdd1c2ba429305467bad58a0828410d9d0fce25c"/>
    <w:p>
      <w:pPr>
        <w:pStyle w:val="Heading2"/>
      </w:pPr>
      <w:r>
        <w:t xml:space="preserve">4. Emissions Calculation (Activity × Emission Factor = CO2e)</w:t>
      </w:r>
    </w:p>
    <w:p>
      <w:pPr>
        <w:pStyle w:val="FirstParagraph"/>
      </w:pPr>
      <w:r>
        <w:t xml:space="preserve">Emissions are calculated for each lifecycle stage based on collected data and assumed industry-average emission factors where specific data was not provided. All results are in kilograms of Carbon Dioxide Equivalent (kg CO2e).</w:t>
      </w:r>
    </w:p>
    <w:bookmarkStart w:id="37" w:name="Xfd317ca3e87e2a1b596c27acdc6c624c1b43607"/>
    <w:p>
      <w:pPr>
        <w:pStyle w:val="Heading3"/>
      </w:pPr>
      <w:r>
        <w:t xml:space="preserve">4.1. Calculation Assumptions &amp; Emission Factors Used</w:t>
      </w:r>
    </w:p>
    <w:p>
      <w:pPr>
        <w:numPr>
          <w:ilvl w:val="0"/>
          <w:numId w:val="1009"/>
        </w:numPr>
        <w:pStyle w:val="Compact"/>
      </w:pPr>
      <w:r>
        <w:rPr>
          <w:bCs/>
          <w:b/>
        </w:rPr>
        <w:t xml:space="preserve">China Grid Electricity Emission Factor:</w:t>
      </w:r>
      <w:r>
        <w:t xml:space="preserve"> </w:t>
      </w:r>
      <w:r>
        <w:t xml:space="preserve">0.6205 kg CO2e/kWh (based on China\'s national average for 2023).</w:t>
      </w:r>
    </w:p>
    <w:p>
      <w:pPr>
        <w:numPr>
          <w:ilvl w:val="0"/>
          <w:numId w:val="1009"/>
        </w:numPr>
        <w:pStyle w:val="Compact"/>
      </w:pPr>
      <w:r>
        <w:rPr>
          <w:bCs/>
          <w:b/>
        </w:rPr>
        <w:t xml:space="preserve">Ocean Freight Emission Factor:</w:t>
      </w:r>
      <w:r>
        <w:t xml:space="preserve"> </w:t>
      </w:r>
      <w:r>
        <w:t xml:space="preserve">0.016142 kg CO2e/tonne-km (for container ship).</w:t>
      </w:r>
    </w:p>
    <w:p>
      <w:pPr>
        <w:numPr>
          <w:ilvl w:val="0"/>
          <w:numId w:val="1009"/>
        </w:numPr>
        <w:pStyle w:val="Compact"/>
      </w:pPr>
      <w:r>
        <w:rPr>
          <w:bCs/>
          <w:b/>
        </w:rPr>
        <w:t xml:space="preserve">Road Freight Emission Factor (China):</w:t>
      </w:r>
      <w:r>
        <w:t xml:space="preserve"> </w:t>
      </w:r>
      <w:r>
        <w:t xml:space="preserve">0.069 kg CO2e/tonne-km (for dray/road freight).</w:t>
      </w:r>
    </w:p>
    <w:p>
      <w:pPr>
        <w:numPr>
          <w:ilvl w:val="0"/>
          <w:numId w:val="1009"/>
        </w:numPr>
        <w:pStyle w:val="Compact"/>
      </w:pPr>
      <w:r>
        <w:rPr>
          <w:bCs/>
          <w:b/>
        </w:rPr>
        <w:t xml:space="preserve">Last-Mile Delivery (Parcel Post) Emission Factor:</w:t>
      </w:r>
      <w:r>
        <w:t xml:space="preserve"> </w:t>
      </w:r>
      <w:r>
        <w:t xml:space="preserve">0.000105 kg CO2e/kg-km (derived from 0.21 kg CO2e for 1000 km for a 2kg package, applied over an assumed 50 km last-mile distance).</w:t>
      </w:r>
    </w:p>
    <w:p>
      <w:pPr>
        <w:numPr>
          <w:ilvl w:val="0"/>
          <w:numId w:val="1009"/>
        </w:numPr>
        <w:pStyle w:val="Compact"/>
      </w:pPr>
      <w:r>
        <w:rPr>
          <w:bCs/>
          <w:b/>
        </w:rPr>
        <w:t xml:space="preserve">End-of-Life Disposal Emission Factor:</w:t>
      </w:r>
      <w:r>
        <w:t xml:space="preserve"> </w:t>
      </w:r>
      <w:r>
        <w:t xml:space="preserve">0.05 kg CO2e/kg for non-recycled waste to landfill/incineration (assumed average).</w:t>
      </w:r>
    </w:p>
    <w:bookmarkEnd w:id="37"/>
    <w:bookmarkStart w:id="41" w:name="X494c7d20505686d08160bb055da15a283e86ac3"/>
    <w:p>
      <w:pPr>
        <w:pStyle w:val="Heading3"/>
      </w:pPr>
      <w:r>
        <w:t xml:space="preserve">4.2. Emissions Breakdown by Lifecycle Stage and GHG Scope</w:t>
      </w:r>
    </w:p>
    <w:bookmarkStart w:id="38" w:name="scope-1-direct-emissions"/>
    <w:p>
      <w:pPr>
        <w:pStyle w:val="Heading4"/>
      </w:pPr>
      <w:r>
        <w:t xml:space="preserve">Scope 1: Direct Emissions</w:t>
      </w:r>
    </w:p>
    <w:p>
      <w:pPr>
        <w:pStyle w:val="FirstParagraph"/>
      </w:pPr>
      <w:r>
        <w:t xml:space="preserve">Direct emissions from sources owned or controlled by xskvkrijnv. Given the "factory_gate" system boundary and lack of specific direct fuel consumption data for the product, Scope 1 emissions for rhrhnglqrf are considered negligible for this product-level analysis. If xskvkrijnv operates on-site combustion for production, these would be captured here.</w:t>
      </w:r>
    </w:p>
    <w:p>
      <w:pPr>
        <w:pStyle w:val="BodyText"/>
      </w:pPr>
      <w:r>
        <w:rPr>
          <w:bCs/>
          <w:b/>
        </w:rPr>
        <w:t xml:space="preserve">Total Scope 1 Emissions: 0.00 kg CO2e</w:t>
      </w:r>
    </w:p>
    <w:bookmarkEnd w:id="38"/>
    <w:bookmarkStart w:id="39" w:name="scope-2-energy-indirect-emissions"/>
    <w:p>
      <w:pPr>
        <w:pStyle w:val="Heading4"/>
      </w:pPr>
      <w:r>
        <w:t xml:space="preserve">Scope 2: Energy Indirect Emissions</w:t>
      </w:r>
    </w:p>
    <w:p>
      <w:pPr>
        <w:pStyle w:val="FirstParagraph"/>
      </w:pPr>
      <w:r>
        <w:t xml:space="preserve">Emissions from the generation of purchased electricity consumed during the product\'s manufacturing phase.</w:t>
      </w:r>
    </w:p>
    <w:p>
      <w:pPr>
        <w:numPr>
          <w:ilvl w:val="0"/>
          <w:numId w:val="1010"/>
        </w:numPr>
        <w:pStyle w:val="Compact"/>
      </w:pPr>
      <w:r>
        <w:t xml:space="preserve">Energy Intensity: 15 kWh/unit</w:t>
      </w:r>
    </w:p>
    <w:p>
      <w:pPr>
        <w:numPr>
          <w:ilvl w:val="0"/>
          <w:numId w:val="1010"/>
        </w:numPr>
        <w:pStyle w:val="Compact"/>
      </w:pPr>
      <w:r>
        <w:t xml:space="preserve">Renewable Energy Usage: 60%</w:t>
      </w:r>
    </w:p>
    <w:p>
      <w:pPr>
        <w:numPr>
          <w:ilvl w:val="0"/>
          <w:numId w:val="1010"/>
        </w:numPr>
        <w:pStyle w:val="Compact"/>
      </w:pPr>
      <w:r>
        <w:t xml:space="preserve">Non-renewable energy: 15 kWh/unit * (1 - 0.60) = 6 kWh/unit</w:t>
      </w:r>
    </w:p>
    <w:p>
      <w:pPr>
        <w:numPr>
          <w:ilvl w:val="0"/>
          <w:numId w:val="1010"/>
        </w:numPr>
        <w:pStyle w:val="Compact"/>
      </w:pPr>
      <w:r>
        <w:t xml:space="preserve">China Grid Electricity Emission Factor: 0.6205 kg CO2e/kWh</w:t>
      </w:r>
    </w:p>
    <w:p>
      <w:pPr>
        <w:numPr>
          <w:ilvl w:val="0"/>
          <w:numId w:val="1010"/>
        </w:numPr>
        <w:pStyle w:val="Compact"/>
      </w:pPr>
      <w:r>
        <w:rPr>
          <w:bCs/>
          <w:b/>
        </w:rPr>
        <w:t xml:space="preserve">Calculation:</w:t>
      </w:r>
      <w:r>
        <w:t xml:space="preserve"> </w:t>
      </w:r>
      <w:r>
        <w:t xml:space="preserve">6 kWh/unit * 0.6205 kg CO2e/kWh = 3.723 kg CO2e</w:t>
      </w:r>
    </w:p>
    <w:p>
      <w:pPr>
        <w:pStyle w:val="FirstParagraph"/>
      </w:pPr>
      <w:r>
        <w:rPr>
          <w:bCs/>
          <w:b/>
        </w:rPr>
        <w:t xml:space="preserve">Total Scope 2 Emissions: 3.723 kg CO2e</w:t>
      </w:r>
    </w:p>
    <w:bookmarkEnd w:id="39"/>
    <w:bookmarkStart w:id="40" w:name="Xd1c2b652bc5876514f180a21f002993b8de8e83"/>
    <w:p>
      <w:pPr>
        <w:pStyle w:val="Heading4"/>
      </w:pPr>
      <w:r>
        <w:t xml:space="preserve">Scope 3: Other Indirect Emissions (Value Chain)</w:t>
      </w:r>
    </w:p>
    <w:p>
      <w:pPr>
        <w:pStyle w:val="FirstParagraph"/>
      </w:pPr>
      <w:r>
        <w:t xml:space="preserve">All other indirect emissions occurring in the value chain, both upstream and downstream.</w:t>
      </w:r>
    </w:p>
    <w:p>
      <w:pPr>
        <w:pStyle w:val="BodyText"/>
      </w:pPr>
      <w:r>
        <w:rPr>
          <w:bCs/>
          <w:b/>
        </w:rPr>
        <w:t xml:space="preserve">Category 1: Purchased Goods and Services (Materials)</w:t>
      </w:r>
    </w:p>
    <w:p>
      <w:pPr>
        <w:numPr>
          <w:ilvl w:val="0"/>
          <w:numId w:val="1011"/>
        </w:numPr>
        <w:pStyle w:val="Compact"/>
      </w:pPr>
      <w:r>
        <w:t xml:space="preserve">Total Carbon from BOM: 16.26 kg CO2e</w:t>
      </w:r>
    </w:p>
    <w:p>
      <w:pPr>
        <w:pStyle w:val="FirstParagraph"/>
      </w:pPr>
      <w:r>
        <w:rPr>
          <w:bCs/>
          <w:b/>
        </w:rPr>
        <w:t xml:space="preserve">Emissions: 16.26 kg CO2e</w:t>
      </w:r>
    </w:p>
    <w:p>
      <w:pPr>
        <w:pStyle w:val="BodyText"/>
      </w:pPr>
      <w:r>
        <w:rPr>
          <w:bCs/>
          <w:b/>
        </w:rPr>
        <w:t xml:space="preserve">Category 4: Upstream Transportation and Distribution</w:t>
      </w:r>
    </w:p>
    <w:p>
      <w:pPr>
        <w:numPr>
          <w:ilvl w:val="0"/>
          <w:numId w:val="1012"/>
        </w:numPr>
        <w:pStyle w:val="Compact"/>
      </w:pPr>
      <w:r>
        <w:t xml:space="preserve">Product Weight: 1.4 kg (0.0014 tonnes)</w:t>
      </w:r>
    </w:p>
    <w:p>
      <w:pPr>
        <w:numPr>
          <w:ilvl w:val="0"/>
          <w:numId w:val="1012"/>
        </w:numPr>
        <w:pStyle w:val="Compact"/>
      </w:pPr>
      <w:r>
        <w:t xml:space="preserve">Ocean Freight (Europe to China):</w:t>
      </w:r>
    </w:p>
    <w:p>
      <w:pPr>
        <w:numPr>
          <w:ilvl w:val="1"/>
          <w:numId w:val="1013"/>
        </w:numPr>
        <w:pStyle w:val="Compact"/>
      </w:pPr>
      <w:r>
        <w:t xml:space="preserve">Distance: 12000 km</w:t>
      </w:r>
    </w:p>
    <w:p>
      <w:pPr>
        <w:numPr>
          <w:ilvl w:val="1"/>
          <w:numId w:val="1013"/>
        </w:numPr>
        <w:pStyle w:val="Compact"/>
      </w:pPr>
      <w:r>
        <w:t xml:space="preserve">Emission Factor: 0.016142 kg CO2e/tonne-km</w:t>
      </w:r>
    </w:p>
    <w:p>
      <w:pPr>
        <w:numPr>
          <w:ilvl w:val="1"/>
          <w:numId w:val="1013"/>
        </w:numPr>
        <w:pStyle w:val="Compact"/>
      </w:pPr>
      <w:r>
        <w:rPr>
          <w:bCs/>
          <w:b/>
        </w:rPr>
        <w:t xml:space="preserve">Calculation:</w:t>
      </w:r>
      <w:r>
        <w:t xml:space="preserve"> </w:t>
      </w:r>
      <w:r>
        <w:t xml:space="preserve">0.0014 tonnes * 12000 km * 0.016142 kg CO2e/tonne-km = 0.271 kg CO2e</w:t>
      </w:r>
    </w:p>
    <w:p>
      <w:pPr>
        <w:numPr>
          <w:ilvl w:val="0"/>
          <w:numId w:val="1012"/>
        </w:numPr>
        <w:pStyle w:val="Compact"/>
      </w:pPr>
      <w:r>
        <w:t xml:space="preserve">Road Transport (China):</w:t>
      </w:r>
    </w:p>
    <w:p>
      <w:pPr>
        <w:numPr>
          <w:ilvl w:val="1"/>
          <w:numId w:val="1014"/>
        </w:numPr>
        <w:pStyle w:val="Compact"/>
      </w:pPr>
      <w:r>
        <w:t xml:space="preserve">Distance: 500 km</w:t>
      </w:r>
    </w:p>
    <w:p>
      <w:pPr>
        <w:numPr>
          <w:ilvl w:val="1"/>
          <w:numId w:val="1014"/>
        </w:numPr>
        <w:pStyle w:val="Compact"/>
      </w:pPr>
      <w:r>
        <w:t xml:space="preserve">Emission Factor: 0.069 kg CO2e/tonne-km</w:t>
      </w:r>
    </w:p>
    <w:p>
      <w:pPr>
        <w:numPr>
          <w:ilvl w:val="1"/>
          <w:numId w:val="1014"/>
        </w:numPr>
        <w:pStyle w:val="Compact"/>
      </w:pPr>
      <w:r>
        <w:rPr>
          <w:bCs/>
          <w:b/>
        </w:rPr>
        <w:t xml:space="preserve">Calculation:</w:t>
      </w:r>
      <w:r>
        <w:t xml:space="preserve"> </w:t>
      </w:r>
      <w:r>
        <w:t xml:space="preserve">0.0014 tonnes * 500 km * 0.069 kg CO2e/tonne-km = 0.048 kg CO2e</w:t>
      </w:r>
    </w:p>
    <w:p>
      <w:pPr>
        <w:pStyle w:val="FirstParagraph"/>
      </w:pPr>
      <w:r>
        <w:rPr>
          <w:bCs/>
          <w:b/>
        </w:rPr>
        <w:t xml:space="preserve">Emissions: 0.271 + 0.048 = 0.319 kg CO2e</w:t>
      </w:r>
    </w:p>
    <w:p>
      <w:pPr>
        <w:pStyle w:val="BodyText"/>
      </w:pPr>
      <w:r>
        <w:rPr>
          <w:bCs/>
          <w:b/>
        </w:rPr>
        <w:t xml:space="preserve">Category 9: Downstream Transportation and Distribution (Last-Mile Delivery)</w:t>
      </w:r>
    </w:p>
    <w:p>
      <w:pPr>
        <w:numPr>
          <w:ilvl w:val="0"/>
          <w:numId w:val="1015"/>
        </w:numPr>
        <w:pStyle w:val="Compact"/>
      </w:pPr>
      <w:r>
        <w:t xml:space="preserve">Product Weight: 1.4 kg</w:t>
      </w:r>
    </w:p>
    <w:p>
      <w:pPr>
        <w:numPr>
          <w:ilvl w:val="0"/>
          <w:numId w:val="1015"/>
        </w:numPr>
        <w:pStyle w:val="Compact"/>
      </w:pPr>
      <w:r>
        <w:t xml:space="preserve">Assumed Last-Mile Distance: 50 km</w:t>
      </w:r>
    </w:p>
    <w:p>
      <w:pPr>
        <w:numPr>
          <w:ilvl w:val="0"/>
          <w:numId w:val="1015"/>
        </w:numPr>
        <w:pStyle w:val="Compact"/>
      </w:pPr>
      <w:r>
        <w:t xml:space="preserve">Emission Factor (Parcel Post): 0.000105 kg CO2e/kg-km (derived from 0.21 kg CO2e/1000km for 2kg package)</w:t>
      </w:r>
    </w:p>
    <w:p>
      <w:pPr>
        <w:numPr>
          <w:ilvl w:val="0"/>
          <w:numId w:val="1015"/>
        </w:numPr>
        <w:pStyle w:val="Compact"/>
      </w:pPr>
      <w:r>
        <w:rPr>
          <w:bCs/>
          <w:b/>
        </w:rPr>
        <w:t xml:space="preserve">Calculation:</w:t>
      </w:r>
      <w:r>
        <w:t xml:space="preserve"> </w:t>
      </w:r>
      <w:r>
        <w:t xml:space="preserve">1.4 kg * 50 km * 0.000105 kg CO2e/kg-km = 0.007 kg CO2e</w:t>
      </w:r>
    </w:p>
    <w:p>
      <w:pPr>
        <w:pStyle w:val="FirstParagraph"/>
      </w:pPr>
      <w:r>
        <w:rPr>
          <w:bCs/>
          <w:b/>
        </w:rPr>
        <w:t xml:space="preserve">Emissions: 0.007 kg CO2e</w:t>
      </w:r>
    </w:p>
    <w:p>
      <w:pPr>
        <w:pStyle w:val="BodyText"/>
      </w:pPr>
      <w:r>
        <w:rPr>
          <w:bCs/>
          <w:b/>
        </w:rPr>
        <w:t xml:space="preserve">Category 11: Use of Sold Products</w:t>
      </w:r>
    </w:p>
    <w:p>
      <w:pPr>
        <w:numPr>
          <w:ilvl w:val="0"/>
          <w:numId w:val="1016"/>
        </w:numPr>
        <w:pStyle w:val="Compact"/>
      </w:pPr>
      <w:r>
        <w:t xml:space="preserve">Product Lifespan: 7 years</w:t>
      </w:r>
    </w:p>
    <w:p>
      <w:pPr>
        <w:numPr>
          <w:ilvl w:val="0"/>
          <w:numId w:val="1016"/>
        </w:numPr>
        <w:pStyle w:val="Compact"/>
      </w:pPr>
      <w:r>
        <w:t xml:space="preserve">Energy Consumption in Use: 8 kWh/year</w:t>
      </w:r>
    </w:p>
    <w:p>
      <w:pPr>
        <w:numPr>
          <w:ilvl w:val="0"/>
          <w:numId w:val="1016"/>
        </w:numPr>
        <w:pStyle w:val="Compact"/>
      </w:pPr>
      <w:r>
        <w:t xml:space="preserve">China Grid Electricity Emission Factor (assumed for use phase): 0.6205 kg CO2e/kWh</w:t>
      </w:r>
    </w:p>
    <w:p>
      <w:pPr>
        <w:numPr>
          <w:ilvl w:val="0"/>
          <w:numId w:val="1016"/>
        </w:numPr>
        <w:pStyle w:val="Compact"/>
      </w:pPr>
      <w:r>
        <w:rPr>
          <w:bCs/>
          <w:b/>
        </w:rPr>
        <w:t xml:space="preserve">Calculation:</w:t>
      </w:r>
      <w:r>
        <w:t xml:space="preserve"> </w:t>
      </w:r>
      <w:r>
        <w:t xml:space="preserve">7 years * 8 kWh/year * 0.6205 kg CO2e/kWh = 34.748 kg CO2e</w:t>
      </w:r>
    </w:p>
    <w:p>
      <w:pPr>
        <w:pStyle w:val="FirstParagraph"/>
      </w:pPr>
      <w:r>
        <w:rPr>
          <w:bCs/>
          <w:b/>
        </w:rPr>
        <w:t xml:space="preserve">Emissions: 34.748 kg CO2e</w:t>
      </w:r>
    </w:p>
    <w:p>
      <w:pPr>
        <w:pStyle w:val="BodyText"/>
      </w:pPr>
      <w:r>
        <w:rPr>
          <w:bCs/>
          <w:b/>
        </w:rPr>
        <w:t xml:space="preserve">Category 12: End-of-Life Treatment of Sold Products</w:t>
      </w:r>
    </w:p>
    <w:p>
      <w:pPr>
        <w:numPr>
          <w:ilvl w:val="0"/>
          <w:numId w:val="1017"/>
        </w:numPr>
        <w:pStyle w:val="Compact"/>
      </w:pPr>
      <w:r>
        <w:t xml:space="preserve">Recyclability Percentage: 70%</w:t>
      </w:r>
    </w:p>
    <w:p>
      <w:pPr>
        <w:numPr>
          <w:ilvl w:val="0"/>
          <w:numId w:val="1017"/>
        </w:numPr>
        <w:pStyle w:val="Compact"/>
      </w:pPr>
      <w:r>
        <w:t xml:space="preserve">Total Virgin Material Emissions: 16.26 kg CO2e</w:t>
      </w:r>
    </w:p>
    <w:p>
      <w:pPr>
        <w:numPr>
          <w:ilvl w:val="0"/>
          <w:numId w:val="1017"/>
        </w:numPr>
        <w:pStyle w:val="Compact"/>
      </w:pPr>
      <w:r>
        <w:t xml:space="preserve">Avoided Emissions Credit (for 70% recycled, at 50% credit factor): 0.70 * 16.26 kg CO2e * 0.50 = 5.691 kg CO2e (credit)</w:t>
      </w:r>
    </w:p>
    <w:p>
      <w:pPr>
        <w:numPr>
          <w:ilvl w:val="0"/>
          <w:numId w:val="1017"/>
        </w:numPr>
        <w:pStyle w:val="Compact"/>
      </w:pPr>
      <w:r>
        <w:t xml:space="preserve">Disposal Emissions (for 30% non-recycled waste):</w:t>
      </w:r>
    </w:p>
    <w:p>
      <w:pPr>
        <w:numPr>
          <w:ilvl w:val="1"/>
          <w:numId w:val="1018"/>
        </w:numPr>
        <w:pStyle w:val="Compact"/>
      </w:pPr>
      <w:r>
        <w:t xml:space="preserve">Non-recycled mass: 0.30 * 1.4 kg = 0.42 kg</w:t>
      </w:r>
    </w:p>
    <w:p>
      <w:pPr>
        <w:numPr>
          <w:ilvl w:val="1"/>
          <w:numId w:val="1018"/>
        </w:numPr>
        <w:pStyle w:val="Compact"/>
      </w:pPr>
      <w:r>
        <w:t xml:space="preserve">Disposal Emission Factor: 0.05 kg CO2e/kg</w:t>
      </w:r>
    </w:p>
    <w:p>
      <w:pPr>
        <w:numPr>
          <w:ilvl w:val="1"/>
          <w:numId w:val="1018"/>
        </w:numPr>
        <w:pStyle w:val="Compact"/>
      </w:pPr>
      <w:r>
        <w:rPr>
          <w:bCs/>
          <w:b/>
        </w:rPr>
        <w:t xml:space="preserve">Calculation:</w:t>
      </w:r>
      <w:r>
        <w:t xml:space="preserve"> </w:t>
      </w:r>
      <w:r>
        <w:t xml:space="preserve">0.42 kg * 0.05 kg CO2e/kg = 0.021 kg CO2e</w:t>
      </w:r>
    </w:p>
    <w:p>
      <w:pPr>
        <w:numPr>
          <w:ilvl w:val="0"/>
          <w:numId w:val="1017"/>
        </w:numPr>
        <w:pStyle w:val="Compact"/>
      </w:pPr>
      <w:r>
        <w:rPr>
          <w:bCs/>
          <w:b/>
        </w:rPr>
        <w:t xml:space="preserve">Net Calculation:</w:t>
      </w:r>
      <w:r>
        <w:t xml:space="preserve"> </w:t>
      </w:r>
      <w:r>
        <w:t xml:space="preserve">0.021 kg CO2e - 5.691 kg CO2e = -5.670 kg CO2e</w:t>
      </w:r>
    </w:p>
    <w:p>
      <w:pPr>
        <w:pStyle w:val="FirstParagraph"/>
      </w:pPr>
      <w:r>
        <w:rPr>
          <w:bCs/>
          <w:b/>
        </w:rPr>
        <w:t xml:space="preserve">Emissions: -5.670 kg CO2e</w:t>
      </w:r>
      <w:r>
        <w:t xml:space="preserve"> </w:t>
      </w:r>
      <w:r>
        <w:t xml:space="preserve">(Net credit)</w:t>
      </w:r>
    </w:p>
    <w:p>
      <w:pPr>
        <w:pStyle w:val="BodyText"/>
      </w:pPr>
      <w:r>
        <w:rPr>
          <w:bCs/>
          <w:b/>
        </w:rPr>
        <w:t xml:space="preserve">Total Scope 3 Emissions:</w:t>
      </w:r>
      <w:r>
        <w:t xml:space="preserve"> </w:t>
      </w:r>
      <w:r>
        <w:t xml:space="preserve">16.26 (Cat 1) + 0.319 (Cat 4) + 0.007 (Cat 9) + 34.748 (Cat 11) - 5.670 (Cat 12) = 45.664 kg CO2e</w:t>
      </w:r>
    </w:p>
    <w:bookmarkEnd w:id="40"/>
    <w:bookmarkEnd w:id="41"/>
    <w:bookmarkStart w:id="42" w:name="summary-of-product-carbon-footprint"/>
    <w:p>
      <w:pPr>
        <w:pStyle w:val="Heading3"/>
      </w:pPr>
      <w:r>
        <w:t xml:space="preserve">4.3. Summary of Product Carbon Footprint</w:t>
      </w:r>
    </w:p>
    <w:p>
      <w:pPr>
        <w:pStyle w:val="FirstParagraph"/>
      </w:pPr>
      <w:r>
        <w:t xml:space="preserve">The total Product Carbon Footprint for one unit of rhrhnglqrf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rPr>
                <w:bCs/>
                <w:b/>
              </w:rP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rPr>
                <w:bCs/>
                <w:b/>
              </w:rPr>
              <w:t xml:space="preserve">Scope 2: Purchased Electricity (Production)</w:t>
            </w:r>
          </w:p>
        </w:tc>
        <w:tc>
          <w:tcPr/>
          <w:p>
            <w:pPr>
              <w:pStyle w:val="Compact"/>
              <w:jc w:val="left"/>
            </w:pPr>
            <w:r>
              <w:t xml:space="preserve">3.723</w:t>
            </w:r>
          </w:p>
        </w:tc>
        <w:tc>
          <w:tcPr/>
          <w:p>
            <w:pPr>
              <w:pStyle w:val="Compact"/>
              <w:jc w:val="left"/>
            </w:pPr>
            <w:r>
              <w:t xml:space="preserve">7.55%</w:t>
            </w:r>
          </w:p>
        </w:tc>
      </w:tr>
      <w:tr>
        <w:tc>
          <w:tcPr/>
          <w:p>
            <w:pPr>
              <w:pStyle w:val="Compact"/>
              <w:jc w:val="left"/>
            </w:pPr>
            <w:r>
              <w:rPr>
                <w:bCs/>
                <w:b/>
              </w:rPr>
              <w:t xml:space="preserve">Scope 3: Other Indirect Emissions</w:t>
            </w:r>
          </w:p>
        </w:tc>
        <w:tc>
          <w:tcPr/>
          <w:p>
            <w:pPr>
              <w:pStyle w:val="Compact"/>
            </w:pPr>
          </w:p>
        </w:tc>
        <w:tc>
          <w:tcPr/>
          <w:p>
            <w:pPr>
              <w:pStyle w:val="Compact"/>
            </w:pPr>
          </w:p>
        </w:tc>
      </w:tr>
      <w:tr>
        <w:tc>
          <w:tcPr/>
          <w:p>
            <w:pPr>
              <w:pStyle w:val="Compact"/>
              <w:jc w:val="left"/>
            </w:pPr>
            <w:r>
              <w:t xml:space="preserve">Category 1: Purchased Goods &amp; Services (Materials)</w:t>
            </w:r>
          </w:p>
        </w:tc>
        <w:tc>
          <w:tcPr/>
          <w:p>
            <w:pPr>
              <w:pStyle w:val="Compact"/>
              <w:jc w:val="left"/>
            </w:pPr>
            <w:r>
              <w:t xml:space="preserve">16.260</w:t>
            </w:r>
          </w:p>
        </w:tc>
        <w:tc>
          <w:tcPr/>
          <w:p>
            <w:pPr>
              <w:pStyle w:val="Compact"/>
              <w:jc w:val="left"/>
            </w:pPr>
            <w:r>
              <w:t xml:space="preserve">33.00%</w:t>
            </w:r>
          </w:p>
        </w:tc>
      </w:tr>
      <w:tr>
        <w:tc>
          <w:tcPr/>
          <w:p>
            <w:pPr>
              <w:pStyle w:val="Compact"/>
              <w:jc w:val="left"/>
            </w:pPr>
            <w:r>
              <w:t xml:space="preserve">Category 4: Upstream Transportation &amp; Distribution</w:t>
            </w:r>
          </w:p>
        </w:tc>
        <w:tc>
          <w:tcPr/>
          <w:p>
            <w:pPr>
              <w:pStyle w:val="Compact"/>
              <w:jc w:val="left"/>
            </w:pPr>
            <w:r>
              <w:t xml:space="preserve">0.319</w:t>
            </w:r>
          </w:p>
        </w:tc>
        <w:tc>
          <w:tcPr/>
          <w:p>
            <w:pPr>
              <w:pStyle w:val="Compact"/>
              <w:jc w:val="left"/>
            </w:pPr>
            <w:r>
              <w:t xml:space="preserve">0.65%</w:t>
            </w:r>
          </w:p>
        </w:tc>
      </w:tr>
      <w:tr>
        <w:tc>
          <w:tcPr/>
          <w:p>
            <w:pPr>
              <w:pStyle w:val="Compact"/>
              <w:jc w:val="left"/>
            </w:pPr>
            <w:r>
              <w:t xml:space="preserve">Category 9: Downstream Transportation &amp; Distribution</w:t>
            </w:r>
          </w:p>
        </w:tc>
        <w:tc>
          <w:tcPr/>
          <w:p>
            <w:pPr>
              <w:pStyle w:val="Compact"/>
              <w:jc w:val="left"/>
            </w:pPr>
            <w:r>
              <w:t xml:space="preserve">0.007</w:t>
            </w:r>
          </w:p>
        </w:tc>
        <w:tc>
          <w:tcPr/>
          <w:p>
            <w:pPr>
              <w:pStyle w:val="Compact"/>
              <w:jc w:val="left"/>
            </w:pPr>
            <w:r>
              <w:t xml:space="preserve">0.01%</w:t>
            </w:r>
          </w:p>
        </w:tc>
      </w:tr>
      <w:tr>
        <w:tc>
          <w:tcPr/>
          <w:p>
            <w:pPr>
              <w:pStyle w:val="Compact"/>
              <w:jc w:val="left"/>
            </w:pPr>
            <w:r>
              <w:t xml:space="preserve">Category 11: Use of Sold Products</w:t>
            </w:r>
          </w:p>
        </w:tc>
        <w:tc>
          <w:tcPr/>
          <w:p>
            <w:pPr>
              <w:pStyle w:val="Compact"/>
              <w:jc w:val="left"/>
            </w:pPr>
            <w:r>
              <w:t xml:space="preserve">34.748</w:t>
            </w:r>
          </w:p>
        </w:tc>
        <w:tc>
          <w:tcPr/>
          <w:p>
            <w:pPr>
              <w:pStyle w:val="Compact"/>
              <w:jc w:val="left"/>
            </w:pPr>
            <w:r>
              <w:t xml:space="preserve">70.50%</w:t>
            </w:r>
          </w:p>
        </w:tc>
      </w:tr>
      <w:tr>
        <w:tc>
          <w:tcPr/>
          <w:p>
            <w:pPr>
              <w:pStyle w:val="Compact"/>
              <w:jc w:val="left"/>
            </w:pPr>
            <w:r>
              <w:t xml:space="preserve">Category 12: End-of-Life Treatment of Sold Products</w:t>
            </w:r>
          </w:p>
        </w:tc>
        <w:tc>
          <w:tcPr/>
          <w:p>
            <w:pPr>
              <w:pStyle w:val="Compact"/>
              <w:jc w:val="left"/>
            </w:pPr>
            <w:r>
              <w:t xml:space="preserve">-5.670</w:t>
            </w:r>
          </w:p>
        </w:tc>
        <w:tc>
          <w:tcPr/>
          <w:p>
            <w:pPr>
              <w:pStyle w:val="Compact"/>
              <w:jc w:val="left"/>
            </w:pPr>
            <w:r>
              <w:t xml:space="preserve">-11.50%</w:t>
            </w:r>
          </w:p>
        </w:tc>
      </w:tr>
      <w:tr>
        <w:tc>
          <w:tcPr/>
          <w:p>
            <w:pPr>
              <w:pStyle w:val="Compact"/>
              <w:jc w:val="left"/>
            </w:pPr>
            <w:r>
              <w:t xml:space="preserve">TOTAL PRODUCT CARBON FOOTPRINT</w:t>
            </w:r>
          </w:p>
        </w:tc>
        <w:tc>
          <w:tcPr/>
          <w:p>
            <w:pPr>
              <w:pStyle w:val="Compact"/>
              <w:jc w:val="left"/>
            </w:pPr>
            <w:r>
              <w:t xml:space="preserve">49.387</w:t>
            </w:r>
          </w:p>
        </w:tc>
        <w:tc>
          <w:tcPr/>
          <w:p>
            <w:pPr>
              <w:pStyle w:val="Compact"/>
              <w:jc w:val="left"/>
            </w:pPr>
            <w:r>
              <w:t xml:space="preserve">100.00%</w:t>
            </w:r>
          </w:p>
        </w:tc>
      </w:tr>
    </w:tbl>
    <w:p>
      <w:pPr>
        <w:pStyle w:val="BodyText"/>
      </w:pPr>
      <w:r>
        <w:rPr>
          <w:iCs/>
          <w:i/>
        </w:rPr>
        <w:t xml:space="preserve">Note: The total Scope 3 emissions is 45.670 kg CO2e. The total PCF is the sum of Scope 1, Scope 2, and Scope 3 emissions. The percentages are calculated based on the absolute value of the total PCF.</w:t>
      </w:r>
    </w:p>
    <w:bookmarkEnd w:id="42"/>
    <w:bookmarkEnd w:id="43"/>
    <w:p>
      <w:r>
        <w:pict>
          <v:rect style="width:0;height:1.5pt" o:hralign="center" o:hrstd="t" o:hr="t"/>
        </w:pict>
      </w:r>
    </w:p>
    <w:bookmarkStart w:id="47"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The PCF analysis reveals the following major emission hotspots for rhrhnglqrf:</w:t>
      </w:r>
    </w:p>
    <w:p>
      <w:pPr>
        <w:numPr>
          <w:ilvl w:val="0"/>
          <w:numId w:val="1019"/>
        </w:numPr>
        <w:pStyle w:val="Compact"/>
      </w:pPr>
      <w:r>
        <w:rPr>
          <w:bCs/>
          <w:b/>
        </w:rPr>
        <w:t xml:space="preserve">Use Phase (70.50%):</w:t>
      </w:r>
      <w:r>
        <w:t xml:space="preserve"> </w:t>
      </w:r>
      <w:r>
        <w:t xml:space="preserve">The most significant contributor to the product\'s carbon footprint is the energy consumed during its 7-year lifespan. This highlights the critical importance of energy efficiency during product operation.</w:t>
      </w:r>
    </w:p>
    <w:p>
      <w:pPr>
        <w:numPr>
          <w:ilvl w:val="0"/>
          <w:numId w:val="1019"/>
        </w:numPr>
        <w:pStyle w:val="Compact"/>
      </w:pPr>
      <w:r>
        <w:rPr>
          <w:bCs/>
          <w:b/>
        </w:rPr>
        <w:t xml:space="preserve">Raw Materials (33.00%):</w:t>
      </w:r>
      <w:r>
        <w:t xml:space="preserve"> </w:t>
      </w:r>
      <w:r>
        <w:t xml:space="preserve">The production of materials, particularly the Aluminum Enclosure and PCBA, accounts for a substantial portion of upstream emissions.</w:t>
      </w:r>
    </w:p>
    <w:p>
      <w:pPr>
        <w:numPr>
          <w:ilvl w:val="0"/>
          <w:numId w:val="1019"/>
        </w:numPr>
        <w:pStyle w:val="Compact"/>
      </w:pPr>
      <w:r>
        <w:rPr>
          <w:bCs/>
          <w:b/>
        </w:rPr>
        <w:t xml:space="preserve">Production Energy (7.55%):</w:t>
      </w:r>
      <w:r>
        <w:t xml:space="preserve"> </w:t>
      </w:r>
      <w:r>
        <w:t xml:space="preserve">Purchased electricity for manufacturing, despite 60% renewable energy usage, still contributes notably due to the carbon intensity of the remaining grid mix in China.</w:t>
      </w:r>
    </w:p>
    <w:bookmarkEnd w:id="44"/>
    <w:bookmarkStart w:id="45" w:name="reliability-and-data-quality"/>
    <w:p>
      <w:pPr>
        <w:pStyle w:val="Heading3"/>
      </w:pPr>
      <w:r>
        <w:t xml:space="preserve">5.2. Reliability and Data Quality</w:t>
      </w:r>
    </w:p>
    <w:p>
      <w:pPr>
        <w:pStyle w:val="FirstParagraph"/>
      </w:pPr>
      <w:r>
        <w:t xml:space="preserve">The reliability of this PCF is considered moderate to high, based on the following:</w:t>
      </w:r>
    </w:p>
    <w:p>
      <w:pPr>
        <w:numPr>
          <w:ilvl w:val="0"/>
          <w:numId w:val="1020"/>
        </w:numPr>
        <w:pStyle w:val="Compact"/>
      </w:pPr>
      <w:r>
        <w:rPr>
          <w:bCs/>
          <w:b/>
        </w:rPr>
        <w:t xml:space="preserve">Primary Data:</w:t>
      </w:r>
      <w:r>
        <w:t xml:space="preserve"> </w:t>
      </w:r>
      <w:r>
        <w:t xml:space="preserve">Specific BOM data (including \'Total Carbon\' values) and customized energy usage (intensity and renewable percentage) were directly incorporated.</w:t>
      </w:r>
    </w:p>
    <w:p>
      <w:pPr>
        <w:numPr>
          <w:ilvl w:val="0"/>
          <w:numId w:val="1020"/>
        </w:numPr>
        <w:pStyle w:val="Compact"/>
      </w:pPr>
      <w:r>
        <w:rPr>
          <w:bCs/>
          <w:b/>
        </w:rPr>
        <w:t xml:space="preserve">Secondary Data:</w:t>
      </w:r>
      <w:r>
        <w:t xml:space="preserve"> </w:t>
      </w:r>
      <w:r>
        <w:t xml:space="preserve">Industry-standard emission factors (e.g., Ecoinvent/DEFRA equivalents) were utilized for transport, grid electricity, and end-of-life scenarios where primary data was unavailable.</w:t>
      </w:r>
    </w:p>
    <w:p>
      <w:pPr>
        <w:numPr>
          <w:ilvl w:val="0"/>
          <w:numId w:val="1020"/>
        </w:numPr>
        <w:pStyle w:val="Compact"/>
      </w:pPr>
      <w:r>
        <w:rPr>
          <w:bCs/>
          <w:b/>
        </w:rPr>
        <w:t xml:space="preserve">Assumptions:</w:t>
      </w:r>
      <w:r>
        <w:t xml:space="preserve"> </w:t>
      </w:r>
      <w:r>
        <w:t xml:space="preserve">Clearly stated assumptions were made for transport distances, product weight, last-mile delivery parameters, and end-of-life credit factors. These assumptions, while reasonable, introduce a degree of uncertainty.</w:t>
      </w:r>
    </w:p>
    <w:p>
      <w:pPr>
        <w:pStyle w:val="FirstParagraph"/>
      </w:pPr>
      <w:r>
        <w:t xml:space="preserve">To further enhance reliability and achieve the highest level of data quality as per 2026 GHG Protocol expectations (which include mandatory data disaggregation by source type), xskvkrijnv should prioritize collecting primary data for:</w:t>
      </w:r>
    </w:p>
    <w:p>
      <w:pPr>
        <w:numPr>
          <w:ilvl w:val="0"/>
          <w:numId w:val="1021"/>
        </w:numPr>
        <w:pStyle w:val="Compact"/>
      </w:pPr>
      <w:r>
        <w:t xml:space="preserve">Specific emission factors from material suppliers.</w:t>
      </w:r>
    </w:p>
    <w:p>
      <w:pPr>
        <w:numPr>
          <w:ilvl w:val="0"/>
          <w:numId w:val="1021"/>
        </w:numPr>
        <w:pStyle w:val="Compact"/>
      </w:pPr>
      <w:r>
        <w:t xml:space="preserve">Actual fuel consumption and vehicle types for inbound and outbound logistics.</w:t>
      </w:r>
    </w:p>
    <w:p>
      <w:pPr>
        <w:numPr>
          <w:ilvl w:val="0"/>
          <w:numId w:val="1021"/>
        </w:numPr>
        <w:pStyle w:val="Compact"/>
      </w:pPr>
      <w:r>
        <w:t xml:space="preserve">Detailed energy mix data from the production facility\'s grid supplier if more granular than national averages.</w:t>
      </w:r>
    </w:p>
    <w:p>
      <w:pPr>
        <w:numPr>
          <w:ilvl w:val="0"/>
          <w:numId w:val="1021"/>
        </w:numPr>
        <w:pStyle w:val="Compact"/>
      </w:pPr>
      <w:r>
        <w:t xml:space="preserve">Specific end-of-life processing emissions and actual recycling rates.</w:t>
      </w:r>
    </w:p>
    <w:bookmarkEnd w:id="45"/>
    <w:bookmarkStart w:id="46" w:name="recommendations-for-decarbonization"/>
    <w:p>
      <w:pPr>
        <w:pStyle w:val="Heading3"/>
      </w:pPr>
      <w:r>
        <w:t xml:space="preserve">5.3. Recommendations for Decarbonization</w:t>
      </w:r>
    </w:p>
    <w:p>
      <w:pPr>
        <w:pStyle w:val="FirstParagraph"/>
      </w:pPr>
      <w:r>
        <w:t xml:space="preserve">Based on the identified hotspots, the following recommendations are provided to xskvkrijnv for reducing the carbon footprint of rhrhnglqrf:</w:t>
      </w:r>
    </w:p>
    <w:p>
      <w:pPr>
        <w:numPr>
          <w:ilvl w:val="0"/>
          <w:numId w:val="1022"/>
        </w:numPr>
        <w:pStyle w:val="Compact"/>
      </w:pPr>
      <w:r>
        <w:rPr>
          <w:bCs/>
          <w:b/>
        </w:rPr>
        <w:t xml:space="preserve">Improve Use Phase Energy Efficiency:</w:t>
      </w:r>
      <w:r>
        <w:t xml:space="preserve"> </w:t>
      </w:r>
      <w:r>
        <w:t xml:space="preserve">This is the most impactful area. Focus on R&amp;D to significantly reduce the product\'s energy consumption during its operational lifespan. Explore low-power components, efficient power management, and software optimizations.</w:t>
      </w:r>
    </w:p>
    <w:p>
      <w:pPr>
        <w:numPr>
          <w:ilvl w:val="0"/>
          <w:numId w:val="1022"/>
        </w:numPr>
        <w:pStyle w:val="Compact"/>
      </w:pPr>
      <w:r>
        <w:rPr>
          <w:bCs/>
          <w:b/>
        </w:rPr>
        <w:t xml:space="preserve">Sustainable Material Sourcing:</w:t>
      </w:r>
    </w:p>
    <w:p>
      <w:pPr>
        <w:numPr>
          <w:ilvl w:val="1"/>
          <w:numId w:val="1023"/>
        </w:numPr>
        <w:pStyle w:val="Compact"/>
      </w:pPr>
      <w:r>
        <w:t xml:space="preserve">Investigate alternative materials with lower embodied carbon, especially for the Aluminum Enclosure and PCBA.</w:t>
      </w:r>
    </w:p>
    <w:p>
      <w:pPr>
        <w:numPr>
          <w:ilvl w:val="1"/>
          <w:numId w:val="1023"/>
        </w:numPr>
        <w:pStyle w:val="Compact"/>
      </w:pPr>
      <w:r>
        <w:t xml:space="preserve">Prioritize suppliers who use renewable energy in their manufacturing processes.</w:t>
      </w:r>
    </w:p>
    <w:p>
      <w:pPr>
        <w:numPr>
          <w:ilvl w:val="1"/>
          <w:numId w:val="1023"/>
        </w:numPr>
        <w:pStyle w:val="Compact"/>
      </w:pPr>
      <w:r>
        <w:t xml:space="preserve">Increase the proportion of recycled content in materials, verifying the associated emission factor reductions.</w:t>
      </w:r>
    </w:p>
    <w:p>
      <w:pPr>
        <w:numPr>
          <w:ilvl w:val="0"/>
          <w:numId w:val="1022"/>
        </w:numPr>
        <w:pStyle w:val="Compact"/>
      </w:pPr>
      <w:r>
        <w:rPr>
          <w:bCs/>
          <w:b/>
        </w:rPr>
        <w:t xml:space="preserve">Enhance Production Energy Mix:</w:t>
      </w:r>
      <w:r>
        <w:t xml:space="preserve"> </w:t>
      </w:r>
      <w:r>
        <w:t xml:space="preserve">While 60% renewable energy is commendable, strive for 100% renewable energy at the production facility. This could involve direct renewable energy procurement, on-site generation, or purchasing high-quality renewable energy certificates (RECs) with robust additionality.</w:t>
      </w:r>
    </w:p>
    <w:p>
      <w:pPr>
        <w:numPr>
          <w:ilvl w:val="0"/>
          <w:numId w:val="1022"/>
        </w:numPr>
        <w:pStyle w:val="Compact"/>
      </w:pPr>
      <w:r>
        <w:rPr>
          <w:bCs/>
          <w:b/>
        </w:rPr>
        <w:t xml:space="preserve">Optimize Logistics:</w:t>
      </w:r>
    </w:p>
    <w:p>
      <w:pPr>
        <w:numPr>
          <w:ilvl w:val="1"/>
          <w:numId w:val="1024"/>
        </w:numPr>
        <w:pStyle w:val="Compact"/>
      </w:pPr>
      <w:r>
        <w:t xml:space="preserve">Explore more efficient transport modes where feasible, potentially shifting more volume to rail for European legs or optimizing container loading.</w:t>
      </w:r>
    </w:p>
    <w:p>
      <w:pPr>
        <w:numPr>
          <w:ilvl w:val="1"/>
          <w:numId w:val="1024"/>
        </w:numPr>
        <w:pStyle w:val="Compact"/>
      </w:pPr>
      <w:r>
        <w:t xml:space="preserve">Partner with logistics providers committed to low-carbon fleets (e.g., electric vehicles for last-mile delivery).</w:t>
      </w:r>
    </w:p>
    <w:p>
      <w:pPr>
        <w:numPr>
          <w:ilvl w:val="0"/>
          <w:numId w:val="1022"/>
        </w:numPr>
        <w:pStyle w:val="Compact"/>
      </w:pPr>
      <w:r>
        <w:rPr>
          <w:bCs/>
          <w:b/>
        </w:rPr>
        <w:t xml:space="preserve">Strengthen Circular Economy Initiatives:</w:t>
      </w:r>
    </w:p>
    <w:p>
      <w:pPr>
        <w:numPr>
          <w:ilvl w:val="1"/>
          <w:numId w:val="1025"/>
        </w:numPr>
        <w:pStyle w:val="Compact"/>
      </w:pPr>
      <w:r>
        <w:t xml:space="preserve">Expand and promote take-back and recycling programs (tqolvnortv) to increase actual collection and high-quality material recovery rates beyond 70%.</w:t>
      </w:r>
    </w:p>
    <w:p>
      <w:pPr>
        <w:numPr>
          <w:ilvl w:val="1"/>
          <w:numId w:val="1025"/>
        </w:numPr>
        <w:pStyle w:val="Compact"/>
      </w:pPr>
      <w:r>
        <w:t xml:space="preserve">Design for disassembly and repairability to extend product lifespan and facilitate component reuse.</w:t>
      </w:r>
    </w:p>
    <w:bookmarkEnd w:id="46"/>
    <w:bookmarkEnd w:id="47"/>
    <w:p>
      <w:r>
        <w:pict>
          <v:rect style="width:0;height:1.5pt" o:hralign="center" o:hrstd="t" o:hr="t"/>
        </w:pict>
      </w:r>
    </w:p>
    <w:p>
      <w:pPr>
        <w:pStyle w:val="FirstParagraph"/>
      </w:pPr>
      <w:r>
        <w:t xml:space="preserve">Confidential - Internal Use Only | Page</w:t>
      </w:r>
      <w:r>
        <w:t xml:space="preserve"> </w:t>
      </w:r>
      <w:bookmarkStart w:id="48" w:name="pageNumber"/>
      <w:bookmarkEnd w:id="48"/>
      <w:r>
        <w:t xml:space="preserve"> </w:t>
      </w:r>
      <w:r>
        <w:t xml:space="preserve">of</w:t>
      </w:r>
      <w:r>
        <w:t xml:space="preserve"> </w:t>
      </w:r>
      <w:bookmarkStart w:id="49" w:name="totalPages"/>
      <w:bookmarkEnd w:id="49"/>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rhrhnglqrf</dc:title>
  <dc:creator/>
  <dc:description>Detailed Product Carbon Footprint (PCF) analysis report for rhrhnglqrf, adhering to GHG Protocol standards and 2026 updates, performed by hwpiyxojsy.</dc:description>
  <dc:language>en</dc:language>
  <cp:keywords/>
  <dcterms:created xsi:type="dcterms:W3CDTF">2026-05-30T16:54:10Z</dcterms:created>
  <dcterms:modified xsi:type="dcterms:W3CDTF">2026-05-30T16:54:10Z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