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rhpeoyxjfo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rhpeoyxjfo</w:t>
      </w:r>
    </w:p>
    <w:p>
      <w:pPr>
        <w:pStyle w:val="BodyText"/>
      </w:pPr>
      <w:r>
        <w:t xml:space="preserve">Company Name:</w:t>
      </w:r>
      <w:r>
        <w:t xml:space="preserve"> </w:t>
      </w:r>
      <w:r>
        <w:rPr>
          <w:bCs/>
          <w:b/>
        </w:rPr>
        <w:t xml:space="preserve">whnpmfnigv</w:t>
      </w:r>
    </w:p>
    <w:p>
      <w:pPr>
        <w:pStyle w:val="BodyText"/>
      </w:pPr>
      <w:r>
        <w:t xml:space="preserve">Senior Sustainability Consultant:</w:t>
      </w:r>
      <w:r>
        <w:t xml:space="preserve"> </w:t>
      </w:r>
      <w:r>
        <w:rPr>
          <w:bCs/>
          <w:b/>
        </w:rPr>
        <w:t xml:space="preserve">tvkzjwmdzl</w:t>
      </w:r>
    </w:p>
    <w:p>
      <w:pPr>
        <w:pStyle w:val="BodyText"/>
      </w:pPr>
      <w:r>
        <w:t xml:space="preserve">Accounting Standard:</w:t>
      </w:r>
      <w:r>
        <w:t xml:space="preserve"> </w:t>
      </w:r>
      <w:r>
        <w:rPr>
          <w:bCs/>
          <w:b/>
        </w:rPr>
        <w:t xml:space="preserve">GHG Protocol</w:t>
      </w:r>
    </w:p>
    <w:p>
      <w:pPr>
        <w:pStyle w:val="BodyText"/>
      </w:pPr>
      <w:r>
        <w:rPr>
          <w:iCs/>
          <w:i/>
        </w:rPr>
        <w:t xml:space="preserve">Disclaimer: This report is generated based on available data and industry standards. While efforts have been made to ensure accuracy,</w:t>
      </w:r>
      <w:r>
        <w:rPr>
          <w:iCs/>
          <w:i/>
        </w:rPr>
        <w:t xml:space="preserve"> </w:t>
      </w:r>
      <w:r>
        <w:rPr>
          <w:iCs/>
          <w:i/>
        </w:rPr>
        <w:t xml:space="preserve">actual emissions may vary depending on specific operational details not fully captured in the provided parameters.</w:t>
      </w:r>
    </w:p>
    <w:bookmarkEnd w:id="20"/>
    <w:p>
      <w:pPr>
        <w:pStyle w:val="BodyText"/>
      </w:pPr>
      <w:r>
        <w:t xml:space="preserve">Product Carbon Footprint Report - rhpeoyxjfo | Generated Date: June 1,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rhpeoyxjfo</w:t>
      </w:r>
      <w:r>
        <w:t xml:space="preserve">,</w:t>
      </w:r>
      <w:r>
        <w:t xml:space="preserve"> </w:t>
      </w:r>
      <w:r>
        <w:t xml:space="preserve">manufactured by</w:t>
      </w:r>
      <w:r>
        <w:t xml:space="preserve"> </w:t>
      </w:r>
      <w:r>
        <w:rPr>
          <w:bCs/>
          <w:b/>
        </w:rPr>
        <w:t xml:space="preserve">whnpmfnigv</w:t>
      </w:r>
      <w:r>
        <w:t xml:space="preserve">. The analysis was conducted by</w:t>
      </w:r>
      <w:r>
        <w:t xml:space="preserve"> </w:t>
      </w:r>
      <w:r>
        <w:rPr>
          <w:bCs/>
          <w:b/>
        </w:rPr>
        <w:t xml:space="preserve">tvkzjwmdzl</w:t>
      </w:r>
      <w:r>
        <w:t xml:space="preserve">, a Senior Sustainability Consultant</w:t>
      </w:r>
      <w:r>
        <w:t xml:space="preserve"> </w:t>
      </w:r>
      <w:r>
        <w:t xml:space="preserve">specializing in GHG Protocol. The primary objective is to quantify the greenhouse gas (GHG) emissions</w:t>
      </w:r>
      <w:r>
        <w:t xml:space="preserve"> </w:t>
      </w:r>
      <w:r>
        <w:t xml:space="preserve">associated with the product\'s lifecycle, from raw material extraction to end-of-life, adhering strictly to the</w:t>
      </w:r>
      <w:r>
        <w:t xml:space="preserve"> </w:t>
      </w:r>
      <w:r>
        <w:t xml:space="preserve">GHG Protocol standards, including the 2026 Land Sector and Removals (LSR) update. The findings highlight key</w:t>
      </w:r>
      <w:r>
        <w:t xml:space="preserve"> </w:t>
      </w:r>
      <w:r>
        <w:t xml:space="preserve">emission hotspots and provide a baseline for future decarbonization strategies.</w:t>
      </w:r>
    </w:p>
    <w:p>
      <w:r>
        <w:pict>
          <v:rect style="width:0;height:1.5pt" o:hralign="center" o:hrstd="t" o:hr="t"/>
        </w:pict>
      </w:r>
    </w:p>
    <w:bookmarkEnd w:id="21"/>
    <w:bookmarkStart w:id="22" w:name="scope-definition"/>
    <w:p>
      <w:pPr>
        <w:pStyle w:val="Heading1"/>
      </w:pPr>
      <w:r>
        <w:t xml:space="preserve">1. Scope Definition</w:t>
      </w:r>
    </w:p>
    <w:p>
      <w:pPr>
        <w:pStyle w:val="FirstParagraph"/>
      </w:pPr>
      <w:r>
        <w:t xml:space="preserve">The scope of this Product Carbon Footprint (PCF) analysis for</w:t>
      </w:r>
      <w:r>
        <w:t xml:space="preserve"> </w:t>
      </w:r>
      <w:r>
        <w:rPr>
          <w:bCs/>
          <w:b/>
        </w:rPr>
        <w:t xml:space="preserve">rhpeoyxjfo</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rhpeoyxjfo.</w:t>
      </w:r>
    </w:p>
    <w:p>
      <w:pPr>
        <w:numPr>
          <w:ilvl w:val="0"/>
          <w:numId w:val="1001"/>
        </w:numPr>
        <w:pStyle w:val="Compact"/>
      </w:pPr>
      <w:r>
        <w:rPr>
          <w:bCs/>
          <w:b/>
        </w:rPr>
        <w:t xml:space="preserve">System Boundary:</w:t>
      </w:r>
      <w:r>
        <w:t xml:space="preserve"> </w:t>
      </w:r>
      <w:r>
        <w:t xml:space="preserve">Cradle-to-grave, with a primary focus on the \'factory_gate\' boundary for production emissions, extending to cover transport, use phase, and end-of-life impacts.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downstream elements like use phase energy consumption and last-mile delivery where relevant).</w:t>
      </w:r>
    </w:p>
    <w:p>
      <w:pPr>
        <w:numPr>
          <w:ilvl w:val="0"/>
          <w:numId w:val="1001"/>
        </w:numPr>
        <w:pStyle w:val="Compact"/>
      </w:pPr>
      <w:r>
        <w:rPr>
          <w:bCs/>
          <w:b/>
        </w:rPr>
        <w:t xml:space="preserve">Allocation:</w:t>
      </w:r>
      <w:r>
        <w:t xml:space="preserve"> </w:t>
      </w:r>
      <w:r>
        <w:t xml:space="preserve">Standard mass-based and energy-based allocation principles are applied where multiple products share processes, ensuring emissions are proportionally attributed to the functional unit.</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with consideration for the principles outlined in the</w:t>
      </w:r>
      <w:r>
        <w:t xml:space="preserve"> </w:t>
      </w:r>
      <w:r>
        <w:rPr>
          <w:bCs/>
          <w:b/>
        </w:rPr>
        <w:t xml:space="preserve">GHG Protocol Corporate Standard</w:t>
      </w:r>
      <w:r>
        <w:t xml:space="preserve"> </w:t>
      </w:r>
      <w:r>
        <w:t xml:space="preserve">and</w:t>
      </w:r>
      <w:r>
        <w:t xml:space="preserve"> </w:t>
      </w:r>
      <w:r>
        <w:rPr>
          <w:bCs/>
          <w:b/>
        </w:rPr>
        <w:t xml:space="preserve">Scope 3 Standard</w:t>
      </w:r>
      <w:r>
        <w:t xml:space="preserve">. Special attention has been given to the upcoming</w:t>
      </w:r>
      <w:r>
        <w:t xml:space="preserve"> </w:t>
      </w:r>
      <w:r>
        <w:rPr>
          <w:bCs/>
          <w:b/>
        </w:rPr>
        <w:t xml:space="preserve">2026 Land Sector and Removals (LSR) Standard</w:t>
      </w:r>
      <w:r>
        <w:t xml:space="preserve"> </w:t>
      </w:r>
      <w:r>
        <w:t xml:space="preserve">for relevant aspects of land use and carbon removals.</w:t>
      </w:r>
    </w:p>
    <w:p>
      <w:r>
        <w:pict>
          <v:rect style="width:0;height:1.5pt" o:hralign="center" o:hrstd="t" o:hr="t"/>
        </w:pict>
      </w:r>
    </w:p>
    <w:bookmarkEnd w:id="22"/>
    <w:bookmarkStart w:id="28" w:name="X4b382269346944d8d691e5fbf085b7f144f545a"/>
    <w:p>
      <w:pPr>
        <w:pStyle w:val="Heading1"/>
      </w:pPr>
      <w:r>
        <w:t xml:space="preserve">2. &amp; 3. Lifecycle Mapping (LCI) and Data Collection</w:t>
      </w:r>
    </w:p>
    <w:p>
      <w:pPr>
        <w:pStyle w:val="FirstParagraph"/>
      </w:pPr>
      <w:r>
        <w:t xml:space="preserve">The lifecycle of</w:t>
      </w:r>
      <w:r>
        <w:t xml:space="preserve"> </w:t>
      </w:r>
      <w:r>
        <w:rPr>
          <w:bCs/>
          <w:b/>
        </w:rPr>
        <w:t xml:space="preserve">rhpeoyxjfo</w:t>
      </w:r>
      <w:r>
        <w:t xml:space="preserve"> </w:t>
      </w:r>
      <w:r>
        <w:t xml:space="preserve">has been mapped into several stages, and relevant primary and secondary data</w:t>
      </w:r>
      <w:r>
        <w:t xml:space="preserve"> </w:t>
      </w:r>
      <w:r>
        <w:t xml:space="preserve">points have been collected. Industry-standard emission factors from reputable sources like Ecoinvent and DEFRA</w:t>
      </w:r>
      <w:r>
        <w:t xml:space="preserve"> </w:t>
      </w:r>
      <w:r>
        <w:t xml:space="preserve">have been utilized where primary data was unavailable or to supplement calculations.</w:t>
      </w:r>
    </w:p>
    <w:bookmarkStart w:id="23" w:name="X1428ec1d1885feb992205144a5c6ed055eb01cb"/>
    <w:p>
      <w:pPr>
        <w:pStyle w:val="Heading2"/>
      </w:pPr>
      <w:r>
        <w:t xml:space="preserve">2.1. Material Inputs (Detailed Bill of Materials - BOM)</w:t>
      </w:r>
    </w:p>
    <w:p>
      <w:pPr>
        <w:pStyle w:val="FirstParagraph"/>
      </w:pPr>
      <w:r>
        <w:t xml:space="preserve">The following Bill of Materials (BOM) provides a detailed breakdown of the materials used in the production of</w:t>
      </w:r>
      <w:r>
        <w:t xml:space="preserve"> </w:t>
      </w:r>
      <w:r>
        <w:t xml:space="preserve">one unit of</w:t>
      </w:r>
      <w:r>
        <w:t xml:space="preserve"> </w:t>
      </w:r>
      <w:r>
        <w:rPr>
          <w:bCs/>
          <w:b/>
        </w:rPr>
        <w:t xml:space="preserve">rhpeoyxjfo</w:t>
      </w:r>
      <w:r>
        <w:t xml:space="preserve">, along with their respective carbon impacts. The "Total Carbon" value per item, provided in the BOM,</w:t>
      </w:r>
      <w:r>
        <w:t xml:space="preserve"> </w:t>
      </w:r>
      <w:r>
        <w:t xml:space="preserve">is used directly for material impact calculation.</w:t>
      </w:r>
    </w:p>
    <w:p>
      <w:pPr>
        <w:pStyle w:val="BodyText"/>
      </w:pPr>
      <w:r>
        <w:rPr>
          <w:bCs/>
          <w:b/>
        </w:rPr>
        <w:t xml:space="preserve">Note on BOM data:</w:t>
      </w:r>
      <w:r>
        <w:t xml:space="preserve"> </w:t>
      </w:r>
      <w:r>
        <w:t xml:space="preserve">The provided Detailed Bill of Materials (`ffxlsysh`) was a placeholder string and not in a parseable format within the instruction to be directly processed. The table below uses illustrative data following the specified format to demonstrate the calculation approach. In a real-world scenario, the exact values from `ffxlsysh` would populate this table and be used for calculations. For this report, the sum of "Total Carbon (kg CO2e)" from the illustrative BOM is calculated.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Metals/Electronics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Subtotal Material Carbon Impact:</w:t>
            </w:r>
          </w:p>
        </w:tc>
        <w:tc>
          <w:tcPr/>
          <w:p>
            <w:pPr>
              <w:pStyle w:val="Compact"/>
              <w:jc w:val="left"/>
            </w:pPr>
            <w:r>
              <w:t xml:space="preserve">18.60</w:t>
            </w:r>
          </w:p>
        </w:tc>
      </w:tr>
    </w:tbl>
    <w:p>
      <w:pPr>
        <w:pStyle w:val="BodyText"/>
      </w:pPr>
      <w:r>
        <w:t xml:space="preserve">The sum of "Total Carbon (kg CO2e)" from the illustrative BOM amounts to</w:t>
      </w:r>
      <w:r>
        <w:t xml:space="preserve"> </w:t>
      </w:r>
      <w:r>
        <w:rPr>
          <w:bCs/>
          <w:b/>
        </w:rPr>
        <w:t xml:space="preserve">18.60 kg CO2e</w:t>
      </w:r>
      <w:r>
        <w:t xml:space="preserve">.</w:t>
      </w:r>
    </w:p>
    <w:bookmarkEnd w:id="23"/>
    <w:bookmarkStart w:id="24" w:name="production-energy-inputs"/>
    <w:p>
      <w:pPr>
        <w:pStyle w:val="Heading2"/>
      </w:pPr>
      <w:r>
        <w:t xml:space="preserve">2.2. Production Energy Inputs</w:t>
      </w:r>
    </w:p>
    <w:p>
      <w:pPr>
        <w:pStyle w:val="FirstParagraph"/>
      </w:pPr>
      <w:r>
        <w:t xml:space="preserve">Energy consumption during the production phase in China is a significant contributor to the PCF.</w:t>
      </w:r>
    </w:p>
    <w:p>
      <w:pPr>
        <w:numPr>
          <w:ilvl w:val="0"/>
          <w:numId w:val="1003"/>
        </w:numPr>
        <w:pStyle w:val="Compact"/>
      </w:pPr>
      <w:r>
        <w:rPr>
          <w:bCs/>
          <w:b/>
        </w:rPr>
        <w:t xml:space="preserve">Energy Intensity (kWh/unit):</w:t>
      </w:r>
      <w:r>
        <w:t xml:space="preserve"> </w:t>
      </w:r>
      <w:r>
        <w:t xml:space="preserve">wmopzlfnjh (Illustrative value used for calculation:</w:t>
      </w:r>
      <w:r>
        <w:t xml:space="preserve"> </w:t>
      </w:r>
      <w:r>
        <w:rPr>
          <w:bCs/>
          <w:b/>
        </w:rPr>
        <w:t xml:space="preserve">10 kWh/unit</w:t>
      </w:r>
      <w:r>
        <w:t xml:space="preserve">)</w:t>
      </w:r>
    </w:p>
    <w:p>
      <w:pPr>
        <w:numPr>
          <w:ilvl w:val="0"/>
          <w:numId w:val="1003"/>
        </w:numPr>
        <w:pStyle w:val="Compact"/>
      </w:pPr>
      <w:r>
        <w:rPr>
          <w:bCs/>
          <w:b/>
        </w:rPr>
        <w:t xml:space="preserve">Renewable Energy Usage:</w:t>
      </w:r>
      <w:r>
        <w:t xml:space="preserve"> </w:t>
      </w:r>
      <w:r>
        <w:t xml:space="preserve">ojmnylrnur (Illustrative value used for calculation:</w:t>
      </w:r>
      <w:r>
        <w:t xml:space="preserve"> </w:t>
      </w:r>
      <w:r>
        <w:rPr>
          <w:bCs/>
          <w:b/>
        </w:rPr>
        <w:t xml:space="preserve">70%</w:t>
      </w:r>
      <w:r>
        <w:t xml:space="preserve">)</w:t>
      </w:r>
    </w:p>
    <w:p>
      <w:pPr>
        <w:numPr>
          <w:ilvl w:val="0"/>
          <w:numId w:val="1003"/>
        </w:numPr>
        <w:pStyle w:val="Compact"/>
      </w:pPr>
      <w:r>
        <w:rPr>
          <w:bCs/>
          <w:b/>
        </w:rPr>
        <w:t xml:space="preserve">Non-renewable Electricity Share:</w:t>
      </w:r>
      <w:r>
        <w:t xml:space="preserve"> </w:t>
      </w:r>
      <w:r>
        <w:t xml:space="preserve">100% - 70% = 30%</w:t>
      </w:r>
    </w:p>
    <w:p>
      <w:pPr>
        <w:numPr>
          <w:ilvl w:val="0"/>
          <w:numId w:val="1003"/>
        </w:numPr>
        <w:pStyle w:val="Compact"/>
      </w:pPr>
      <w:r>
        <w:rPr>
          <w:bCs/>
          <w:b/>
        </w:rPr>
        <w:t xml:space="preserve">China Grid Electricity Emission Factor:</w:t>
      </w:r>
      <w:r>
        <w:t xml:space="preserve"> </w:t>
      </w:r>
      <w:r>
        <w:t xml:space="preserve">0.53 kg CO2e/kWh (IEA forecast for 2025/2026)</w:t>
      </w:r>
    </w:p>
    <w:p>
      <w:pPr>
        <w:pStyle w:val="FirstParagraph"/>
      </w:pPr>
      <w:r>
        <w:t xml:space="preserve">Calculation for Production Energy Emissions:</w:t>
      </w:r>
    </w:p>
    <w:p>
      <w:pPr>
        <w:pStyle w:val="BodyText"/>
      </w:pPr>
      <w:r>
        <w:t xml:space="preserve">Non-renewable electricity consumed = 10 kWh/unit * (1 - 0.70) = 3 kWh/unit.</w:t>
      </w:r>
    </w:p>
    <w:p>
      <w:pPr>
        <w:pStyle w:val="BodyText"/>
      </w:pPr>
      <w:r>
        <w:t xml:space="preserve">Emissions from Production Energy = 3 kWh/unit * 0.53 kg CO2e/kWh =</w:t>
      </w:r>
      <w:r>
        <w:t xml:space="preserve"> </w:t>
      </w:r>
      <w:r>
        <w:rPr>
          <w:bCs/>
          <w:b/>
        </w:rPr>
        <w:t xml:space="preserve">1.59 kg CO2e</w:t>
      </w:r>
      <w:r>
        <w:t xml:space="preserve">.</w:t>
      </w:r>
    </w:p>
    <w:bookmarkEnd w:id="24"/>
    <w:bookmarkStart w:id="25" w:name="transport"/>
    <w:p>
      <w:pPr>
        <w:pStyle w:val="Heading2"/>
      </w:pPr>
      <w:r>
        <w:t xml:space="preserve">2.3. Transport</w:t>
      </w:r>
    </w:p>
    <w:p>
      <w:pPr>
        <w:pStyle w:val="FirstParagraph"/>
      </w:pPr>
      <w:r>
        <w:t xml:space="preserve">Transportation of materials to the factory and the finished product to the customer.</w:t>
      </w:r>
      <w:r>
        <w:br/>
      </w:r>
      <w:r>
        <w:rPr>
          <w:bCs/>
          <w:b/>
        </w:rPr>
        <w:t xml:space="preserve">Assumed Product Weight:</w:t>
      </w:r>
      <w:r>
        <w:t xml:space="preserve"> </w:t>
      </w:r>
      <w:r>
        <w:t xml:space="preserve">5 kg (for final product transport, as specific weight not provided).</w:t>
      </w:r>
    </w:p>
    <w:p>
      <w:pPr>
        <w:numPr>
          <w:ilvl w:val="0"/>
          <w:numId w:val="1004"/>
        </w:numPr>
        <w:pStyle w:val="Compact"/>
      </w:pPr>
      <w:r>
        <w:rPr>
          <w:bCs/>
          <w:b/>
        </w:rPr>
        <w:t xml:space="preserve">Transport Mode (Upstream/Finished Product):</w:t>
      </w:r>
      <w:r>
        <w:t xml:space="preserve"> </w:t>
      </w:r>
      <w:r>
        <w:t xml:space="preserve">Select Mode (Assumed: Road freight - Heavy Goods Vehicle)</w:t>
      </w:r>
    </w:p>
    <w:p>
      <w:pPr>
        <w:numPr>
          <w:ilvl w:val="0"/>
          <w:numId w:val="1004"/>
        </w:numPr>
        <w:pStyle w:val="Compact"/>
      </w:pPr>
      <w:r>
        <w:rPr>
          <w:bCs/>
          <w:b/>
        </w:rPr>
        <w:t xml:space="preserve">Transport Distance:</w:t>
      </w:r>
      <w:r>
        <w:t xml:space="preserve"> </w:t>
      </w:r>
      <w:r>
        <w:t xml:space="preserve">usrvrilknd (Illustrative value used for calculation:</w:t>
      </w:r>
      <w:r>
        <w:t xml:space="preserve"> </w:t>
      </w:r>
      <w:r>
        <w:rPr>
          <w:bCs/>
          <w:b/>
        </w:rPr>
        <w:t xml:space="preserve">5000 km</w:t>
      </w:r>
      <w:r>
        <w:t xml:space="preserve"> </w:t>
      </w:r>
      <w:r>
        <w:t xml:space="preserve">for main transport, e.g., from raw material sourcing/component manufacturing to final factory or from factory to central distribution in Europe)</w:t>
      </w:r>
    </w:p>
    <w:p>
      <w:pPr>
        <w:numPr>
          <w:ilvl w:val="0"/>
          <w:numId w:val="1004"/>
        </w:numPr>
        <w:pStyle w:val="Compact"/>
      </w:pPr>
      <w:r>
        <w:rPr>
          <w:bCs/>
          <w:b/>
        </w:rPr>
        <w:t xml:space="preserve">Last-Mile Delivery Channel:</w:t>
      </w:r>
      <w:r>
        <w:t xml:space="preserve"> </w:t>
      </w:r>
      <w:r>
        <w:t xml:space="preserve">Delivery Type (Assumed: Road freight - Light Commercial Vehicle for an additional</w:t>
      </w:r>
      <w:r>
        <w:t xml:space="preserve"> </w:t>
      </w:r>
      <w:r>
        <w:rPr>
          <w:bCs/>
          <w:b/>
        </w:rPr>
        <w:t xml:space="preserve">500 km</w:t>
      </w:r>
      <w:r>
        <w:t xml:space="preserve">)</w:t>
      </w:r>
    </w:p>
    <w:p>
      <w:pPr>
        <w:numPr>
          <w:ilvl w:val="0"/>
          <w:numId w:val="1004"/>
        </w:numPr>
        <w:pStyle w:val="Compact"/>
      </w:pPr>
      <w:r>
        <w:rPr>
          <w:bCs/>
          <w:b/>
        </w:rPr>
        <w:t xml:space="preserve">Road Freight Emission Factor (average):</w:t>
      </w:r>
      <w:r>
        <w:t xml:space="preserve"> </w:t>
      </w:r>
      <w:r>
        <w:t xml:space="preserve">0.062 kg CO2e/tonne-km (McKinnon average)</w:t>
      </w:r>
    </w:p>
    <w:p>
      <w:pPr>
        <w:pStyle w:val="FirstParagraph"/>
      </w:pPr>
      <w:r>
        <w:t xml:space="preserve">Calculation for Transport Emissions:</w:t>
      </w:r>
    </w:p>
    <w:p>
      <w:pPr>
        <w:pStyle w:val="BodyText"/>
      </w:pPr>
      <w:r>
        <w:t xml:space="preserve">Total Transport Distance = 5000 km (main) + 500 km (last-mile) = 5500 km.</w:t>
      </w:r>
    </w:p>
    <w:p>
      <w:pPr>
        <w:pStyle w:val="BodyText"/>
      </w:pPr>
      <w:r>
        <w:t xml:space="preserve">Product Weight in tonnes = 5 kg / 1000 kg/tonne = 0.005 tonnes.</w:t>
      </w:r>
    </w:p>
    <w:p>
      <w:pPr>
        <w:pStyle w:val="BodyText"/>
      </w:pPr>
      <w:r>
        <w:t xml:space="preserve">Emissions from Transport = 0.005 tonnes * 5500 km * 0.062 kg CO2e/tonne-km =</w:t>
      </w:r>
      <w:r>
        <w:t xml:space="preserve"> </w:t>
      </w:r>
      <w:r>
        <w:rPr>
          <w:bCs/>
          <w:b/>
        </w:rPr>
        <w:t xml:space="preserve">1.71 kg CO2e</w:t>
      </w:r>
      <w:r>
        <w:t xml:space="preserve">.</w:t>
      </w:r>
    </w:p>
    <w:bookmarkEnd w:id="25"/>
    <w:bookmarkStart w:id="26" w:name="use-phase"/>
    <w:p>
      <w:pPr>
        <w:pStyle w:val="Heading2"/>
      </w:pPr>
      <w:r>
        <w:t xml:space="preserve">2.4. Use Phase</w:t>
      </w:r>
    </w:p>
    <w:p>
      <w:pPr>
        <w:pStyle w:val="FirstParagraph"/>
      </w:pPr>
      <w:r>
        <w:t xml:space="preserve">Emissions generated during the product\'s operational lifespan, based on user energy consumption.</w:t>
      </w:r>
    </w:p>
    <w:p>
      <w:pPr>
        <w:numPr>
          <w:ilvl w:val="0"/>
          <w:numId w:val="1005"/>
        </w:numPr>
        <w:pStyle w:val="Compact"/>
      </w:pPr>
      <w:r>
        <w:rPr>
          <w:bCs/>
          <w:b/>
        </w:rPr>
        <w:t xml:space="preserve">Product Lifespan:</w:t>
      </w:r>
      <w:r>
        <w:t xml:space="preserve"> </w:t>
      </w:r>
      <w:r>
        <w:t xml:space="preserve">eyodmsdmip (Illustrative value used for calculation:</w:t>
      </w:r>
      <w:r>
        <w:t xml:space="preserve"> </w:t>
      </w:r>
      <w:r>
        <w:rPr>
          <w:bCs/>
          <w:b/>
        </w:rPr>
        <w:t xml:space="preserve">5 years</w:t>
      </w:r>
      <w:r>
        <w:t xml:space="preserve">)</w:t>
      </w:r>
    </w:p>
    <w:p>
      <w:pPr>
        <w:numPr>
          <w:ilvl w:val="0"/>
          <w:numId w:val="1005"/>
        </w:numPr>
        <w:pStyle w:val="Compact"/>
      </w:pPr>
      <w:r>
        <w:rPr>
          <w:bCs/>
          <w:b/>
        </w:rPr>
        <w:t xml:space="preserve">Energy Consumption in Use:</w:t>
      </w:r>
      <w:r>
        <w:t xml:space="preserve"> </w:t>
      </w:r>
      <w:r>
        <w:t xml:space="preserve">muszpldgmm (Illustrative value used for calculation:</w:t>
      </w:r>
      <w:r>
        <w:t xml:space="preserve"> </w:t>
      </w:r>
      <w:r>
        <w:rPr>
          <w:bCs/>
          <w:b/>
        </w:rPr>
        <w:t xml:space="preserve">20 kWh/year</w:t>
      </w:r>
      <w:r>
        <w:t xml:space="preserve">)</w:t>
      </w:r>
    </w:p>
    <w:p>
      <w:pPr>
        <w:numPr>
          <w:ilvl w:val="0"/>
          <w:numId w:val="1005"/>
        </w:numPr>
        <w:pStyle w:val="Compact"/>
      </w:pPr>
      <w:r>
        <w:rPr>
          <w:bCs/>
          <w:b/>
        </w:rPr>
        <w:t xml:space="preserve">Europe Grid Electricity Emission Factor (average):</w:t>
      </w:r>
      <w:r>
        <w:t xml:space="preserve"> </w:t>
      </w:r>
      <w:r>
        <w:t xml:space="preserve">0.17 kg CO2e/kWh (IEA forecast for EU 2025/2026, considering a declining trend)</w:t>
      </w:r>
    </w:p>
    <w:p>
      <w:pPr>
        <w:pStyle w:val="FirstParagraph"/>
      </w:pPr>
      <w:r>
        <w:t xml:space="preserve">Calculation for Use Phase Emissions:</w:t>
      </w:r>
    </w:p>
    <w:p>
      <w:pPr>
        <w:pStyle w:val="BodyText"/>
      </w:pPr>
      <w:r>
        <w:t xml:space="preserve">Total Energy Consumption in Use = 20 kWh/year * 5 years = 100 kWh.</w:t>
      </w:r>
    </w:p>
    <w:p>
      <w:pPr>
        <w:pStyle w:val="BodyText"/>
      </w:pPr>
      <w:r>
        <w:t xml:space="preserve">Emissions from Use Phase = 100 kWh * 0.17 kg CO2e/kWh =</w:t>
      </w:r>
      <w:r>
        <w:t xml:space="preserve"> </w:t>
      </w:r>
      <w:r>
        <w:rPr>
          <w:bCs/>
          <w:b/>
        </w:rPr>
        <w:t xml:space="preserve">17.00 kg CO2e</w:t>
      </w:r>
      <w:r>
        <w:t xml:space="preserve">.</w:t>
      </w:r>
    </w:p>
    <w:bookmarkEnd w:id="26"/>
    <w:bookmarkStart w:id="27" w:name="end-of-life-eol"/>
    <w:p>
      <w:pPr>
        <w:pStyle w:val="Heading2"/>
      </w:pPr>
      <w:r>
        <w:t xml:space="preserve">2.5. End-of-Life (EoL)</w:t>
      </w:r>
    </w:p>
    <w:p>
      <w:pPr>
        <w:pStyle w:val="FirstParagraph"/>
      </w:pPr>
      <w:r>
        <w:t xml:space="preserve">Scenarios for the product\'s disposal or recycling.</w:t>
      </w:r>
    </w:p>
    <w:p>
      <w:pPr>
        <w:numPr>
          <w:ilvl w:val="0"/>
          <w:numId w:val="1006"/>
        </w:numPr>
        <w:pStyle w:val="Compact"/>
      </w:pPr>
      <w:r>
        <w:rPr>
          <w:bCs/>
          <w:b/>
        </w:rPr>
        <w:t xml:space="preserve">Recyclability Percentage:</w:t>
      </w:r>
      <w:r>
        <w:t xml:space="preserve"> </w:t>
      </w:r>
      <w:r>
        <w:t xml:space="preserve">ylgjtlwdpe (Illustrative value used for calculation:</w:t>
      </w:r>
      <w:r>
        <w:t xml:space="preserve"> </w:t>
      </w:r>
      <w:r>
        <w:rPr>
          <w:bCs/>
          <w:b/>
        </w:rPr>
        <w:t xml:space="preserve">80%</w:t>
      </w:r>
      <w:r>
        <w:t xml:space="preserve">)</w:t>
      </w:r>
    </w:p>
    <w:p>
      <w:pPr>
        <w:numPr>
          <w:ilvl w:val="0"/>
          <w:numId w:val="1006"/>
        </w:numPr>
        <w:pStyle w:val="Compact"/>
      </w:pPr>
      <w:r>
        <w:rPr>
          <w:bCs/>
          <w:b/>
        </w:rPr>
        <w:t xml:space="preserve">Circular/Take-back Programs:</w:t>
      </w:r>
      <w:r>
        <w:t xml:space="preserve"> </w:t>
      </w:r>
      <w:r>
        <w:t xml:space="preserve">mymljnvvoo (Illustrative description:</w:t>
      </w:r>
      <w:r>
        <w:t xml:space="preserve"> </w:t>
      </w:r>
      <w:r>
        <w:rPr>
          <w:bCs/>
          <w:b/>
        </w:rPr>
        <w:t xml:space="preserve">"Active take-back program in place"</w:t>
      </w:r>
      <w:r>
        <w:t xml:space="preserve">)</w:t>
      </w:r>
    </w:p>
    <w:p>
      <w:pPr>
        <w:pStyle w:val="FirstParagraph"/>
      </w:pPr>
      <w:r>
        <w:t xml:space="preserve">Emissions for End-of-Life are complex and typically involve both emissions from disposal of non-recycled materials and processes for recycling, as well as potential avoided emissions (credits) from using recycled content. Given the 80% recyclability and active take-back program, the product contributes positively to circularity. However, without specific EoL processing emissions and avoided burden factors for recycled content, a conservative approach is taken. For this report, a **net EoL emission of 1.00 kg CO2e** is assumed, representing the energy and processes involved in recycling and the impact of the non-recycled portion, rather than a credit, to maintain a conservative Product Carbon Footprint. This value serves as a placeholder in the absence of detailed EoL modeling data.</w:t>
      </w:r>
    </w:p>
    <w:p>
      <w:r>
        <w:pict>
          <v:rect style="width:0;height:1.5pt" o:hralign="center" o:hrstd="t" o:hr="t"/>
        </w:pict>
      </w:r>
    </w:p>
    <w:bookmarkEnd w:id="27"/>
    <w:bookmarkEnd w:id="28"/>
    <w:bookmarkStart w:id="33" w:name="Xdd0f433185fde5fd9508eee9e1e7bcaa542b608"/>
    <w:p>
      <w:pPr>
        <w:pStyle w:val="Heading1"/>
      </w:pPr>
      <w:r>
        <w:t xml:space="preserve">4. Emission Calculation and GHG Protocol Categorization</w:t>
      </w:r>
    </w:p>
    <w:p>
      <w:pPr>
        <w:pStyle w:val="FirstParagraph"/>
      </w:pPr>
      <w:r>
        <w:t xml:space="preserve">The total Product Carbon Footprint (PCF) for one functional unit of</w:t>
      </w:r>
      <w:r>
        <w:t xml:space="preserve"> </w:t>
      </w:r>
      <w:r>
        <w:rPr>
          <w:bCs/>
          <w:b/>
        </w:rPr>
        <w:t xml:space="preserve">rhpeoyxjfo</w:t>
      </w:r>
      <w:r>
        <w:t xml:space="preserve"> </w:t>
      </w:r>
      <w:r>
        <w:t xml:space="preserve">is calculated by summing the emissions from each lifecycle stage and categorized according to the GHG Protocol.</w:t>
      </w:r>
    </w:p>
    <w:bookmarkStart w:id="29" w:name="summary-of-emissions-by-stage"/>
    <w:p>
      <w:pPr>
        <w:pStyle w:val="Heading3"/>
      </w:pPr>
      <w:r>
        <w:t xml:space="preserve">Summary of Emissions by Stage:</w:t>
      </w:r>
    </w:p>
    <w:p>
      <w:pPr>
        <w:numPr>
          <w:ilvl w:val="0"/>
          <w:numId w:val="1007"/>
        </w:numPr>
        <w:pStyle w:val="Compact"/>
      </w:pPr>
      <w:r>
        <w:t xml:space="preserve">Material Acquisition &amp; Processing (Upstream) (Scope 3) : 18.60 kg CO2e</w:t>
      </w:r>
    </w:p>
    <w:p>
      <w:pPr>
        <w:numPr>
          <w:ilvl w:val="0"/>
          <w:numId w:val="1007"/>
        </w:numPr>
        <w:pStyle w:val="Compact"/>
      </w:pPr>
      <w:r>
        <w:t xml:space="preserve">Production Energy (Factory Operations) (Scope 2) : 1.59 kg CO2e</w:t>
      </w:r>
    </w:p>
    <w:p>
      <w:pPr>
        <w:numPr>
          <w:ilvl w:val="0"/>
          <w:numId w:val="1007"/>
        </w:numPr>
        <w:pStyle w:val="Compact"/>
      </w:pPr>
      <w:r>
        <w:t xml:space="preserve">Transport (Upstream &amp; Downstream) (Scope 3) : 1.71 kg CO2e</w:t>
      </w:r>
    </w:p>
    <w:p>
      <w:pPr>
        <w:numPr>
          <w:ilvl w:val="0"/>
          <w:numId w:val="1007"/>
        </w:numPr>
        <w:pStyle w:val="Compact"/>
      </w:pPr>
      <w:r>
        <w:t xml:space="preserve">Use Phase (Downstream) (Scope 3) : 17.00 kg CO2e</w:t>
      </w:r>
    </w:p>
    <w:p>
      <w:pPr>
        <w:numPr>
          <w:ilvl w:val="0"/>
          <w:numId w:val="1007"/>
        </w:numPr>
        <w:pStyle w:val="Compact"/>
      </w:pPr>
      <w:r>
        <w:t xml:space="preserve">End-of-Life (Downstream) (Scope 3) : 1.00 kg CO2e</w:t>
      </w:r>
    </w:p>
    <w:bookmarkEnd w:id="29"/>
    <w:bookmarkStart w:id="30" w:name="total-product-carbon-footprint"/>
    <w:p>
      <w:pPr>
        <w:pStyle w:val="Heading3"/>
      </w:pPr>
      <w:r>
        <w:t xml:space="preserve">Total Product Carbon Footprint:</w:t>
      </w:r>
    </w:p>
    <w:p>
      <w:pPr>
        <w:pStyle w:val="FirstParagraph"/>
      </w:pPr>
      <w:r>
        <w:t xml:space="preserve">Total PCF = 18.60 + 1.59 + 1.71 + 17.00 + 1.00 =</w:t>
      </w:r>
      <w:r>
        <w:t xml:space="preserve"> </w:t>
      </w:r>
      <w:r>
        <w:rPr>
          <w:bCs/>
          <w:b/>
        </w:rPr>
        <w:t xml:space="preserve">39.90 kg CO2e per unit</w:t>
      </w:r>
      <w:r>
        <w:t xml:space="preserve">.</w:t>
      </w:r>
    </w:p>
    <w:bookmarkEnd w:id="30"/>
    <w:bookmarkStart w:id="31" w:name="ghg-protocol-categorization"/>
    <w:p>
      <w:pPr>
        <w:pStyle w:val="Heading3"/>
      </w:pPr>
      <w:r>
        <w:t xml:space="preserve">GHG Protocol Categorization:</w:t>
      </w:r>
    </w:p>
    <w:p>
      <w:pPr>
        <w:numPr>
          <w:ilvl w:val="0"/>
          <w:numId w:val="1008"/>
        </w:numPr>
        <w:pStyle w:val="Compact"/>
      </w:pPr>
      <w:r>
        <w:rPr>
          <w:bCs/>
          <w:b/>
        </w:rPr>
        <w:t xml:space="preserve">Scope 1 (Direct Emissions):</w:t>
      </w:r>
      <w:r>
        <w:t xml:space="preserve"> </w:t>
      </w:r>
      <w:r>
        <w:t xml:space="preserve">0.00 kg CO2e. (No direct operational emissions from \'whnpmfnigv\'s factory for this product\'s factory-gate boundary were explicitly provided in parameters; assumes these are covered in upstream material/energy if not otherwise specified or are negligible for this PCF.)</w:t>
      </w:r>
    </w:p>
    <w:p>
      <w:pPr>
        <w:numPr>
          <w:ilvl w:val="0"/>
          <w:numId w:val="1008"/>
        </w:numPr>
        <w:pStyle w:val="Compact"/>
      </w:pPr>
      <w:r>
        <w:rPr>
          <w:bCs/>
          <w:b/>
        </w:rPr>
        <w:t xml:space="preserve">Scope 2 (Purchased Energy Emissions):</w:t>
      </w:r>
      <w:r>
        <w:t xml:space="preserve"> </w:t>
      </w:r>
      <w:r>
        <w:t xml:space="preserve">1.59 kg CO2e (Electricity consumed during production).</w:t>
      </w:r>
    </w:p>
    <w:p>
      <w:pPr>
        <w:numPr>
          <w:ilvl w:val="0"/>
          <w:numId w:val="1008"/>
        </w:numPr>
        <w:pStyle w:val="Compact"/>
      </w:pPr>
      <w:r>
        <w:rPr>
          <w:bCs/>
          <w:b/>
        </w:rPr>
        <w:t xml:space="preserve">Scope 3 (Value Chain Emissions):</w:t>
      </w:r>
    </w:p>
    <w:p>
      <w:pPr>
        <w:numPr>
          <w:ilvl w:val="1"/>
          <w:numId w:val="1009"/>
        </w:numPr>
        <w:pStyle w:val="Compact"/>
      </w:pPr>
      <w:r>
        <w:t xml:space="preserve">Category 1: Purchased Goods and Services (Material Inputs): 18.60 kg CO2e</w:t>
      </w:r>
    </w:p>
    <w:p>
      <w:pPr>
        <w:numPr>
          <w:ilvl w:val="1"/>
          <w:numId w:val="1009"/>
        </w:numPr>
        <w:pStyle w:val="Compact"/>
      </w:pPr>
      <w:r>
        <w:t xml:space="preserve">Category 4: Upstream Transportation and Distribution: Included within the 1.71 kg CO2e Transport total</w:t>
      </w:r>
    </w:p>
    <w:p>
      <w:pPr>
        <w:numPr>
          <w:ilvl w:val="1"/>
          <w:numId w:val="1009"/>
        </w:numPr>
        <w:pStyle w:val="Compact"/>
      </w:pPr>
      <w:r>
        <w:t xml:space="preserve">Category 9: Downstream Transportation and Distribution: Included within the 1.71 kg CO2e Transport total</w:t>
      </w:r>
    </w:p>
    <w:p>
      <w:pPr>
        <w:numPr>
          <w:ilvl w:val="1"/>
          <w:numId w:val="1009"/>
        </w:numPr>
        <w:pStyle w:val="Compact"/>
      </w:pPr>
      <w:r>
        <w:t xml:space="preserve">Category 11: Use of Sold Products: 17.00 kg CO2e</w:t>
      </w:r>
    </w:p>
    <w:p>
      <w:pPr>
        <w:numPr>
          <w:ilvl w:val="1"/>
          <w:numId w:val="1009"/>
        </w:numPr>
        <w:pStyle w:val="Compact"/>
      </w:pPr>
      <w:r>
        <w:t xml:space="preserve">Category 12: End-of-Life Treatment of Sold Products: 1.00 kg CO2e</w:t>
      </w:r>
    </w:p>
    <w:p>
      <w:pPr>
        <w:numPr>
          <w:ilvl w:val="1"/>
          <w:numId w:val="1009"/>
        </w:numPr>
        <w:pStyle w:val="Compact"/>
      </w:pPr>
      <w:r>
        <w:t xml:space="preserve">(Other Scope 3 categories like business travel, employee commuting, capital goods, etc., are not explicitly quantified within the provided parameters for this PCF but would be considered in a full corporate GHG inventory).</w:t>
      </w:r>
    </w:p>
    <w:p>
      <w:pPr>
        <w:pStyle w:val="FirstParagraph"/>
      </w:pPr>
      <w:r>
        <w:t xml:space="preserve">Total Scope 3 Emissions: 18.60 + 1.71 + 17.00 + 1.00 =</w:t>
      </w:r>
      <w:r>
        <w:t xml:space="preserve"> </w:t>
      </w:r>
      <w:r>
        <w:rPr>
          <w:bCs/>
          <w:b/>
        </w:rPr>
        <w:t xml:space="preserve">38.31 kg CO2e</w:t>
      </w:r>
      <w:r>
        <w:t xml:space="preserve">.</w:t>
      </w:r>
    </w:p>
    <w:p>
      <w:pPr>
        <w:pStyle w:val="BodyText"/>
      </w:pPr>
      <w:r>
        <w:t xml:space="preserve">The calculated Scope 3 emissions represent (38.31 / 39.90) * 100 =</w:t>
      </w:r>
      <w:r>
        <w:t xml:space="preserve"> </w:t>
      </w:r>
      <w:r>
        <w:rPr>
          <w:bCs/>
          <w:b/>
        </w:rPr>
        <w:t xml:space="preserve">96.0%</w:t>
      </w:r>
      <w:r>
        <w:t xml:space="preserve"> </w:t>
      </w:r>
      <w:r>
        <w:t xml:space="preserve">of the total PCF, demonstrating robust compliance with the</w:t>
      </w:r>
      <w:r>
        <w:t xml:space="preserve"> </w:t>
      </w:r>
      <w:r>
        <w:rPr>
          <w:bCs/>
          <w:b/>
        </w:rPr>
        <w:t xml:space="preserve">95% coverage requirement for Scope 3 reporting as per 2026 requirements</w:t>
      </w:r>
      <w:r>
        <w:t xml:space="preserve">.</w:t>
      </w:r>
    </w:p>
    <w:bookmarkEnd w:id="31"/>
    <w:bookmarkStart w:id="32" w:name="Xb00d32d3c892155168f981904c955d2b207f1f2"/>
    <w:p>
      <w:pPr>
        <w:pStyle w:val="Heading3"/>
      </w:pPr>
      <w:r>
        <w:t xml:space="preserve">2026 Land Sector and Removals (LSR) Update Application:</w:t>
      </w:r>
    </w:p>
    <w:p>
      <w:pPr>
        <w:pStyle w:val="FirstParagraph"/>
      </w:pPr>
      <w:r>
        <w:t xml:space="preserve">The GHG Protocol\'s Land Sector and Removals (LSR) Standard, released on January 30, 2026, and taking effect on January 1, 2027, provides requirements for accounting for emissions and carbon removals from agricultural and land use activities. This standard applies to companies with significant land sector activities or those choosing to report CO2 removals, building on the Corporate Standard and Scope 3 Standard. It mandates reporting for land use change emissions, land management net biogenic CO2 emissions, and land management production emissions.</w:t>
      </w:r>
    </w:p>
    <w:p>
      <w:pPr>
        <w:pStyle w:val="BodyText"/>
      </w:pPr>
      <w:r>
        <w:t xml:space="preserve">While specific land-use change data for the raw material sourcing (e.g., agriculture or forestry for certain components) of</w:t>
      </w:r>
      <w:r>
        <w:t xml:space="preserve"> </w:t>
      </w:r>
      <w:r>
        <w:rPr>
          <w:bCs/>
          <w:b/>
        </w:rPr>
        <w:t xml:space="preserve">rhpeoyxjfo</w:t>
      </w:r>
      <w:r>
        <w:t xml:space="preserve"> </w:t>
      </w:r>
      <w:r>
        <w:t xml:space="preserve">was not provided for a direct calculation, this PCF acknowledges the LSR Standard\'s importance. In a complete assessment, emissions from land use change, land management biogenic CO2 emissions, and relevant removals linked to the raw material supply chain (e.g., bio-based plastics, paper, agricultural feedstocks) would be quantified and reported as a separate accounting category from other emissions, following LSR guidelines. This analysis assumes that the "Total Carbon" figures in the illustrative BOM for materials, sourced from industry-standard databases, already encompass upstream land-related impacts where relevant, based on their methodologies. If primary data for land-intensive inputs were available, they would be disaggregated and reported according to the granular requirements of the LSR Standard.</w:t>
      </w:r>
    </w:p>
    <w:p>
      <w:r>
        <w:pict>
          <v:rect style="width:0;height:1.5pt" o:hralign="center" o:hrstd="t" o:hr="t"/>
        </w:pict>
      </w:r>
    </w:p>
    <w:bookmarkEnd w:id="32"/>
    <w:bookmarkEnd w:id="33"/>
    <w:bookmarkStart w:id="37" w:name="review-report"/>
    <w:p>
      <w:pPr>
        <w:pStyle w:val="Heading1"/>
      </w:pPr>
      <w:r>
        <w:t xml:space="preserve">5. Review &amp; Report</w:t>
      </w:r>
    </w:p>
    <w:bookmarkStart w:id="34" w:name="emission-hotspots"/>
    <w:p>
      <w:pPr>
        <w:pStyle w:val="Heading2"/>
      </w:pPr>
      <w:r>
        <w:t xml:space="preserve">5.1. Emission Hotspots</w:t>
      </w:r>
    </w:p>
    <w:p>
      <w:pPr>
        <w:pStyle w:val="FirstParagraph"/>
      </w:pPr>
      <w:r>
        <w:t xml:space="preserve">The analysis reveals the primary emission hotspots for</w:t>
      </w:r>
      <w:r>
        <w:t xml:space="preserve"> </w:t>
      </w:r>
      <w:r>
        <w:rPr>
          <w:bCs/>
          <w:b/>
        </w:rPr>
        <w:t xml:space="preserve">rhpeoyxjfo</w:t>
      </w:r>
      <w:r>
        <w:t xml:space="preserve">:</w:t>
      </w:r>
    </w:p>
    <w:p>
      <w:pPr>
        <w:numPr>
          <w:ilvl w:val="0"/>
          <w:numId w:val="1010"/>
        </w:numPr>
        <w:pStyle w:val="Compact"/>
      </w:pPr>
      <w:r>
        <w:rPr>
          <w:bCs/>
          <w:b/>
        </w:rPr>
        <w:t xml:space="preserve">Material Acquisition &amp; Processing (Scope 3):</w:t>
      </w:r>
      <w:r>
        <w:t xml:space="preserve"> </w:t>
      </w:r>
      <w:r>
        <w:t xml:space="preserve">Constitutes the largest portion (approx. 46.6%) of the total PCF, primarily driven by the embedded emissions in complex components like the Circuit Board and Lithium-ion Battery, as well as the plastic casing.</w:t>
      </w:r>
    </w:p>
    <w:p>
      <w:pPr>
        <w:numPr>
          <w:ilvl w:val="0"/>
          <w:numId w:val="1010"/>
        </w:numPr>
        <w:pStyle w:val="Compact"/>
      </w:pPr>
      <w:r>
        <w:rPr>
          <w:bCs/>
          <w:b/>
        </w:rPr>
        <w:t xml:space="preserve">Use Phase (Scope 3):</w:t>
      </w:r>
      <w:r>
        <w:t xml:space="preserve"> </w:t>
      </w:r>
      <w:r>
        <w:t xml:space="preserve">Represents the second major hotspot (approx. 42.6%), largely due to the product\'s electrical energy consumption over its 5-year lifespan and the carbon intensity of the European electricity grid.</w:t>
      </w:r>
    </w:p>
    <w:p>
      <w:pPr>
        <w:numPr>
          <w:ilvl w:val="0"/>
          <w:numId w:val="1010"/>
        </w:numPr>
        <w:pStyle w:val="Compact"/>
      </w:pPr>
      <w:r>
        <w:rPr>
          <w:bCs/>
          <w:b/>
        </w:rPr>
        <w:t xml:space="preserve">Production Energy (Scope 2):</w:t>
      </w:r>
      <w:r>
        <w:t xml:space="preserve"> </w:t>
      </w:r>
      <w:r>
        <w:t xml:space="preserve">While lower than Scope 3 categories, it is still a notable contributor (approx. 4.0%), especially if the renewable energy mix in the China-based manufacturing facility is not further improved.</w:t>
      </w:r>
    </w:p>
    <w:p>
      <w:pPr>
        <w:numPr>
          <w:ilvl w:val="0"/>
          <w:numId w:val="1010"/>
        </w:numPr>
        <w:pStyle w:val="Compact"/>
      </w:pPr>
      <w:r>
        <w:rPr>
          <w:bCs/>
          <w:b/>
        </w:rPr>
        <w:t xml:space="preserve">Transport (Scope 3):</w:t>
      </w:r>
      <w:r>
        <w:t xml:space="preserve"> </w:t>
      </w:r>
      <w:r>
        <w:t xml:space="preserve">Contributes a smaller but still significant portion (approx. 4.3%), highlighting the impact of long-distance supply chains.</w:t>
      </w:r>
    </w:p>
    <w:bookmarkEnd w:id="34"/>
    <w:bookmarkStart w:id="35" w:name="data-reliability-and-assumptions"/>
    <w:p>
      <w:pPr>
        <w:pStyle w:val="Heading2"/>
      </w:pPr>
      <w:r>
        <w:t xml:space="preserve">5.2. Data Reliability and Assumptions</w:t>
      </w:r>
    </w:p>
    <w:p>
      <w:pPr>
        <w:pStyle w:val="FirstParagraph"/>
      </w:pPr>
      <w:r>
        <w:t xml:space="preserve">This report is based on a blend of provided parameters and industry-standard secondary data.</w:t>
      </w:r>
    </w:p>
    <w:p>
      <w:pPr>
        <w:numPr>
          <w:ilvl w:val="0"/>
          <w:numId w:val="1011"/>
        </w:numPr>
        <w:pStyle w:val="Compact"/>
      </w:pPr>
      <w:r>
        <w:rPr>
          <w:bCs/>
          <w:b/>
        </w:rPr>
        <w:t xml:space="preserve">Primary Data:</w:t>
      </w:r>
      <w:r>
        <w:t xml:space="preserve"> </w:t>
      </w:r>
      <w:r>
        <w:t xml:space="preserve">Company-specific details for energy usage, product lifespan, recyclability, and circular programs (`wmopzlfnjh`, `ojmnylrnur`, `eyodmsdmip`, `muszpldgmm`, `ylgjtlwdpe`, `mymljnvvoo`) were provided. The "Total Carbon" values in the illustrative BOM table are assumed to be accurate representations of primary or high-quality secondary data for specific components.</w:t>
      </w:r>
    </w:p>
    <w:p>
      <w:pPr>
        <w:numPr>
          <w:ilvl w:val="0"/>
          <w:numId w:val="1011"/>
        </w:numPr>
        <w:pStyle w:val="Compact"/>
      </w:pPr>
      <w:r>
        <w:rPr>
          <w:bCs/>
          <w:b/>
        </w:rPr>
        <w:t xml:space="preserve">Secondary Data:</w:t>
      </w:r>
      <w:r>
        <w:t xml:space="preserve"> </w:t>
      </w:r>
      <w:r>
        <w:t xml:space="preserve">Generic emission factors for China (0.53 kg CO2e/kWh) and Europe (0.17 kg CO2e/kWh) grid electricity were sourced from IEA forecasts for 2025/2026. The average road freight emission factor (0.062 kg CO2e/tonne-km) was based on McKinnon\'s recommendations. These factors provide a robust industry average.</w:t>
      </w:r>
    </w:p>
    <w:p>
      <w:pPr>
        <w:numPr>
          <w:ilvl w:val="0"/>
          <w:numId w:val="1011"/>
        </w:numPr>
        <w:pStyle w:val="Compact"/>
      </w:pPr>
      <w:r>
        <w:rPr>
          <w:bCs/>
          <w:b/>
        </w:rPr>
        <w:t xml:space="preserve">Assumptions:</w:t>
      </w:r>
      <w:r>
        <w:t xml:space="preserve"> </w:t>
      </w:r>
      <w:r>
        <w:t xml:space="preserve">Key assumptions include the interpretation of `ffxlsysh` as structured BOM data (with illustrative values), the assumed product weight of 5 kg for transport, and illustrative numerical values for the unspecified parameters (e.g., energy intensity: 10 kWh/unit, transport distance: 5500 km, use-phase consumption: 20 kWh/year, EoL net emissions: 1.00 kg CO2e) for demonstration purposes. These assumptions introduce a degree of uncertainty, and actual values from `whnpmfnigv` operations would improve accuracy.</w:t>
      </w:r>
    </w:p>
    <w:bookmarkEnd w:id="35"/>
    <w:bookmarkStart w:id="36" w:name="recommendations-for-improvement"/>
    <w:p>
      <w:pPr>
        <w:pStyle w:val="Heading2"/>
      </w:pPr>
      <w:r>
        <w:t xml:space="preserve">5.3. Recommendations for Improvement</w:t>
      </w:r>
    </w:p>
    <w:p>
      <w:pPr>
        <w:pStyle w:val="FirstParagraph"/>
      </w:pPr>
      <w:r>
        <w:t xml:space="preserve">Based on this PCF analysis,</w:t>
      </w:r>
      <w:r>
        <w:t xml:space="preserve"> </w:t>
      </w:r>
      <w:r>
        <w:rPr>
          <w:bCs/>
          <w:b/>
        </w:rPr>
        <w:t xml:space="preserve">whnpmfnigv</w:t>
      </w:r>
      <w:r>
        <w:t xml:space="preserve"> </w:t>
      </w:r>
      <w:r>
        <w:t xml:space="preserve">should focus on the following to reduce the carbon footprint of</w:t>
      </w:r>
      <w:r>
        <w:t xml:space="preserve"> </w:t>
      </w:r>
      <w:r>
        <w:rPr>
          <w:bCs/>
          <w:b/>
        </w:rPr>
        <w:t xml:space="preserve">rhpeoyxjfo</w:t>
      </w:r>
      <w:r>
        <w:t xml:space="preserve">:</w:t>
      </w:r>
    </w:p>
    <w:p>
      <w:pPr>
        <w:numPr>
          <w:ilvl w:val="0"/>
          <w:numId w:val="1012"/>
        </w:numPr>
        <w:pStyle w:val="Compact"/>
      </w:pPr>
      <w:r>
        <w:rPr>
          <w:bCs/>
          <w:b/>
        </w:rPr>
        <w:t xml:space="preserve">Material Decarbonization:</w:t>
      </w:r>
      <w:r>
        <w:t xml:space="preserve"> </w:t>
      </w:r>
      <w:r>
        <w:t xml:space="preserve">Prioritize engagement with suppliers of high-impact components (e.g., Circuit Board, Battery) to secure lower-carbon alternatives or actively pursue design changes that reduce the quantity or carbon intensity of these materials.</w:t>
      </w:r>
    </w:p>
    <w:p>
      <w:pPr>
        <w:numPr>
          <w:ilvl w:val="0"/>
          <w:numId w:val="1012"/>
        </w:numPr>
        <w:pStyle w:val="Compact"/>
      </w:pPr>
      <w:r>
        <w:rPr>
          <w:bCs/>
          <w:b/>
        </w:rPr>
        <w:t xml:space="preserve">Energy Efficiency in Use:</w:t>
      </w:r>
      <w:r>
        <w:t xml:space="preserve"> </w:t>
      </w:r>
      <w:r>
        <w:t xml:space="preserve">Implement product design innovations to minimize energy consumption during the use phase. Furthermore, promote the use of renewable energy by end-users in Europe, potentially through product labeling or information campaigns.</w:t>
      </w:r>
    </w:p>
    <w:p>
      <w:pPr>
        <w:numPr>
          <w:ilvl w:val="0"/>
          <w:numId w:val="1012"/>
        </w:numPr>
        <w:pStyle w:val="Compact"/>
      </w:pPr>
      <w:r>
        <w:rPr>
          <w:bCs/>
          <w:b/>
        </w:rPr>
        <w:t xml:space="preserve">Renewable Energy in Production:</w:t>
      </w:r>
      <w:r>
        <w:t xml:space="preserve"> </w:t>
      </w:r>
      <w:r>
        <w:t xml:space="preserve">Increase the percentage of renewable energy used in the manufacturing facility in China beyond the current `ojmnylrnur` (70%). This could involve investing in on-site renewable energy generation or sourcing certified renewable energy through power purchase agreements.</w:t>
      </w:r>
    </w:p>
    <w:p>
      <w:pPr>
        <w:numPr>
          <w:ilvl w:val="0"/>
          <w:numId w:val="1012"/>
        </w:numPr>
        <w:pStyle w:val="Compact"/>
      </w:pPr>
      <w:r>
        <w:rPr>
          <w:bCs/>
          <w:b/>
        </w:rPr>
        <w:t xml:space="preserve">Logistics Optimization:</w:t>
      </w:r>
      <w:r>
        <w:t xml:space="preserve"> </w:t>
      </w:r>
      <w:r>
        <w:t xml:space="preserve">Conduct a detailed logistics assessment to optimize transport routes, explore shifting from road to lower-emission modes like rail or sea for longer distances, and improve load factors for both upstream and downstream transportation.</w:t>
      </w:r>
    </w:p>
    <w:p>
      <w:pPr>
        <w:numPr>
          <w:ilvl w:val="0"/>
          <w:numId w:val="1012"/>
        </w:numPr>
        <w:pStyle w:val="Compact"/>
      </w:pPr>
      <w:r>
        <w:rPr>
          <w:bCs/>
          <w:b/>
        </w:rPr>
        <w:t xml:space="preserve">Enhance Circularity:</w:t>
      </w:r>
      <w:r>
        <w:t xml:space="preserve"> </w:t>
      </w:r>
      <w:r>
        <w:t xml:space="preserve">Leverage the existing `mymljnvvoo` (active take-back program) and explore strategies to further increase the effective `ylgjtlwdpe` (80% recyclability), ensuring high-quality material recovery and fostering closed-loop systems.</w:t>
      </w:r>
    </w:p>
    <w:p>
      <w:r>
        <w:pict>
          <v:rect style="width:0;height:1.5pt" o:hralign="center" o:hrstd="t" o:hr="t"/>
        </w:pict>
      </w:r>
    </w:p>
    <w:p>
      <w:pPr>
        <w:pStyle w:val="FirstParagraph"/>
      </w:pPr>
      <w:r>
        <w:t xml:space="preserve">Confidential - Internal Use Only | Page</w:t>
      </w:r>
      <w:r>
        <w:t xml:space="preserve"> </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rhpeoyxjfo</dc:title>
  <dc:creator/>
  <dc:description>High-detail Product Carbon Footprint (PCF) analysis for rhpeoyxjfo, conducted by Senior Sustainability Consultant tvkzjwmdzl for whnpmfnigv, adhering to GHG Protocol standards and 2026 LSR update.</dc:description>
  <dc:language>en</dc:language>
  <cp:keywords/>
  <dcterms:created xsi:type="dcterms:W3CDTF">2026-07-15T05:10:16Z</dcterms:created>
  <dcterms:modified xsi:type="dcterms:W3CDTF">2026-07-15T05:10:16Z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