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rhewlpjrrk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rhewlpjrrk</w:t>
      </w:r>
    </w:p>
    <w:p>
      <w:pPr>
        <w:pStyle w:val="BodyText"/>
      </w:pPr>
      <w:r>
        <w:t xml:space="preserve">Company Name: tttxmxumnl</w:t>
      </w:r>
    </w:p>
    <w:p>
      <w:pPr>
        <w:pStyle w:val="BodyText"/>
      </w:pPr>
      <w:r>
        <w:t xml:space="preserve">Senior Sustainability Consultant: tseyotshdh</w:t>
      </w:r>
    </w:p>
    <w:p>
      <w:pPr>
        <w:pStyle w:val="BodyText"/>
      </w:pPr>
      <w:r>
        <w:t xml:space="preserve">Protocol Data (Accounting Standard): GHG Protocol</w:t>
      </w:r>
    </w:p>
    <w:p>
      <w:pPr>
        <w:pStyle w:val="BodyText"/>
      </w:pPr>
      <w:r>
        <w:t xml:space="preserve">Disclaimer: This report is generated based on available data and industry standards at the time of publication (May 26, 2026). While efforts have been made to ensure accuracy and adherence to the specified methodologies, actual emissions may vary based on real-time operational data and further granular analysis.</w:t>
      </w:r>
    </w:p>
    <w:bookmarkEnd w:id="20"/>
    <w:bookmarkStart w:id="43" w:name="X8feb4413cee6e3286f2a47370049bacaef1f494"/>
    <w:p>
      <w:pPr>
        <w:pStyle w:val="Heading1"/>
      </w:pPr>
      <w:r>
        <w:t xml:space="preserve">Product Carbon Footprint Analysis for rhewlpjrrk</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tseyotshdh</w:t>
      </w:r>
    </w:p>
    <w:p>
      <w:pPr>
        <w:pStyle w:val="BodyText"/>
      </w:pPr>
      <w:r>
        <w:rPr>
          <w:bCs/>
          <w:b/>
        </w:rPr>
        <w:t xml:space="preserve">Company Name:</w:t>
      </w:r>
      <w:r>
        <w:t xml:space="preserve"> </w:t>
      </w:r>
      <w:r>
        <w:t xml:space="preserve">tttxmxumnl</w:t>
      </w:r>
    </w:p>
    <w:p>
      <w:pPr>
        <w:pStyle w:val="BodyText"/>
      </w:pPr>
      <w:r>
        <w:t xml:space="preserve">This report presents a high-detail Product Carbon Footprint (PCF) analysis for the product rhewlpjrrk, conducted in accordance with the Greenhouse Gas (GHG) Protocol standards. The objective is to quantify the greenhouse gas emissions associated with the product\'s lifecycle, identify emission hotspots, and provide insights for reduction strategies.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rhewlpjrrk has been calculated based on a factory-gate system boundary, extending to include significant upstream (materials, transport) and downstream (use phase, end-of-life) Scope 3 emissions. The analysis leverages a detailed Bill of Materials, specific logistics parameters, and customized energy data. The overall footprint is a summation of emissions across material acquisition, manufacturing, transportation, use, and end-of-life phases. Key emission hotspots have been identified, primarily in material sourcing and the use phase, offering targeted areas for sustainability improvements. The report adheres to the GHG Protocol\'s classification of Scope 1, 2, and 3 emissions and incorporates considerations from the 2026 Land Sector and Removals (LSR) Standard update and Scope 3 compliance requirements.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This section outlines the foundational parameters for the Product Carbon Footprint (PCF) analysis of rhewlpjrrk.</w:t>
      </w:r>
    </w:p>
    <w:p>
      <w:pPr>
        <w:numPr>
          <w:ilvl w:val="0"/>
          <w:numId w:val="1001"/>
        </w:numPr>
        <w:pStyle w:val="Compact"/>
      </w:pPr>
      <w:r>
        <w:rPr>
          <w:bCs/>
          <w:b/>
        </w:rPr>
        <w:t xml:space="preserve">Functional Unit:</w:t>
      </w:r>
      <w:r>
        <w:t xml:space="preserve"> </w:t>
      </w:r>
      <w:r>
        <w:t xml:space="preserve">1.0 unit of rhewlpjrrk. This represents the reference flow to which all input and output data are normalized.</w:t>
      </w:r>
    </w:p>
    <w:p>
      <w:pPr>
        <w:numPr>
          <w:ilvl w:val="0"/>
          <w:numId w:val="1001"/>
        </w:numPr>
        <w:pStyle w:val="Compact"/>
      </w:pPr>
      <w:r>
        <w:rPr>
          <w:bCs/>
          <w:b/>
        </w:rPr>
        <w:t xml:space="preserve">System Boundary:</w:t>
      </w:r>
      <w:r>
        <w:t xml:space="preserve"> </w:t>
      </w:r>
      <w:r>
        <w:t xml:space="preserve">Factory Gate, extended to include key upstream and downstream Scope 3 categories as required for comprehensive PCF analysis. This includes raw material acquisition, manufacturing (at the factory gate), all inbound and outbound logistics, the product\'s use phase, and its end-of-life treatment. Emissions from direct operations (Scope 1) and purchased energy (Scope 2) at the manufacturing facility are included within the factory gate boundary, while value chain emissions fall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manufacturing occurs in China, and the product is primarily distributed and used within Europe.</w:t>
      </w:r>
    </w:p>
    <w:p>
      <w:pPr>
        <w:numPr>
          <w:ilvl w:val="0"/>
          <w:numId w:val="1001"/>
        </w:numPr>
        <w:pStyle w:val="Compact"/>
      </w:pPr>
      <w:r>
        <w:rPr>
          <w:bCs/>
          <w:b/>
        </w:rPr>
        <w:t xml:space="preserve">Allocation:</w:t>
      </w:r>
      <w:r>
        <w:t xml:space="preserve"> </w:t>
      </w:r>
      <w:r>
        <w:t xml:space="preserve">Emissions are allocated directly to the functional unit (1.0 unit of rhewlpjrrk). Where shared processes or facilities are involved, economic allocation, mass allocation, or other appropriate allocation methods as per GHG Protocol guidance would typically be applied. For this analysis, direct attribution is assumed for all specified inputs to the single functional unit.</w:t>
      </w:r>
    </w:p>
    <w:p>
      <w:pPr>
        <w:numPr>
          <w:ilvl w:val="0"/>
          <w:numId w:val="1001"/>
        </w:numPr>
        <w:pStyle w:val="Compact"/>
      </w:pPr>
      <w:r>
        <w:rPr>
          <w:bCs/>
          <w:b/>
        </w:rPr>
        <w:t xml:space="preserve">Accounting Standard:</w:t>
      </w:r>
      <w:r>
        <w:t xml:space="preserve"> </w:t>
      </w:r>
      <w:r>
        <w:t xml:space="preserve">This analysis strictly adheres to the Greenhouse Gas (GHG) Protocol Corporate Accounting and Reporting Standard and the Corporate Value Chain (Scope 3) Accounting and Reporting Standard. Emissions are categorized into Scope 1, Scope 2, and Scope 3.</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The lifecycle of rhewlpjrrk is mapped across five main stages: Material Acquisition, Manufacturing, Transportation, Use Phase, and End-of-Life. Data collection involved integrating specific primary data points provided and utilizing secondary, industry-standard emission factors where primary data was unavailable or unspecified.</w:t>
      </w:r>
    </w:p>
    <w:bookmarkStart w:id="23" w:name="X34f1e69318f74941c0070ed6e296ec06693648e"/>
    <w:p>
      <w:pPr>
        <w:pStyle w:val="Heading3"/>
      </w:pPr>
      <w:r>
        <w:t xml:space="preserve">Detailed Bill of Materials (BOM) - Upstream Materials (Scope 3, Category 1)</w:t>
      </w:r>
    </w:p>
    <w:p>
      <w:pPr>
        <w:pStyle w:val="FirstParagraph"/>
      </w:pPr>
      <w:r>
        <w:t xml:space="preserve">The detailed Bill of Materials (BOM) for rhewlpjrrk is critical for an accurate assessment of raw material impacts. The provided "Total Carbon" value for each item represents its pre-calculated cradle-to-gate emissions, simplifying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Product Mass (excluding packaging):</w:t>
      </w:r>
      <w:r>
        <w:t xml:space="preserve"> </w:t>
      </w:r>
      <w:r>
        <w:t xml:space="preserve">0.5 + 0.3 + 0.1 + 0.05 = 0.95 kg</w:t>
      </w:r>
    </w:p>
    <w:p>
      <w:pPr>
        <w:pStyle w:val="BodyText"/>
      </w:pPr>
      <w:r>
        <w:rPr>
          <w:bCs/>
          <w:b/>
        </w:rPr>
        <w:t xml:space="preserve">Total Product Mass (including packaging):</w:t>
      </w:r>
      <w:r>
        <w:t xml:space="preserve"> </w:t>
      </w:r>
      <w:r>
        <w:t xml:space="preserve">1.15 kg</w:t>
      </w:r>
    </w:p>
    <w:bookmarkEnd w:id="23"/>
    <w:bookmarkStart w:id="24" w:name="X3c57456b4f2ed42b2be13bab9bb3b5e6cf27e78"/>
    <w:p>
      <w:pPr>
        <w:pStyle w:val="Heading3"/>
      </w:pPr>
      <w:r>
        <w:t xml:space="preserve">Energy Inputs - Manufacturing Phase (Scope 2)</w:t>
      </w:r>
    </w:p>
    <w:p>
      <w:pPr>
        <w:numPr>
          <w:ilvl w:val="0"/>
          <w:numId w:val="1002"/>
        </w:numPr>
        <w:pStyle w:val="Compact"/>
      </w:pPr>
      <w:r>
        <w:rPr>
          <w:bCs/>
          <w:b/>
        </w:rPr>
        <w:t xml:space="preserve">Energy Intensity (kWh/unit):</w:t>
      </w:r>
      <w:r>
        <w:t xml:space="preserve"> </w:t>
      </w:r>
      <w:r>
        <w:t xml:space="preserve">ylkpnwzogt (Assumed 25 kWh/unit)</w:t>
      </w:r>
    </w:p>
    <w:p>
      <w:pPr>
        <w:numPr>
          <w:ilvl w:val="0"/>
          <w:numId w:val="1002"/>
        </w:numPr>
        <w:pStyle w:val="Compact"/>
      </w:pPr>
      <w:r>
        <w:rPr>
          <w:bCs/>
          <w:b/>
        </w:rPr>
        <w:t xml:space="preserve">Renewable Energy Usage:</w:t>
      </w:r>
      <w:r>
        <w:t xml:space="preserve"> </w:t>
      </w:r>
      <w:r>
        <w:t xml:space="preserve">xpmfxdegut (Assumed 75% for manufacturing in China)</w:t>
      </w:r>
    </w:p>
    <w:p>
      <w:pPr>
        <w:numPr>
          <w:ilvl w:val="0"/>
          <w:numId w:val="1002"/>
        </w:numPr>
        <w:pStyle w:val="Compact"/>
      </w:pPr>
      <w:r>
        <w:rPr>
          <w:bCs/>
          <w:b/>
        </w:rPr>
        <w:t xml:space="preserve">Grid Electricity Emission Factor (China):</w:t>
      </w:r>
      <w:r>
        <w:t xml:space="preserve"> </w:t>
      </w:r>
      <w:r>
        <w:t xml:space="preserve">0.556 kgCO2e/kWh</w:t>
      </w:r>
    </w:p>
    <w:bookmarkEnd w:id="24"/>
    <w:bookmarkStart w:id="25" w:name="X06c402860ea3263a66f5feaefd31ff9bd4a9577"/>
    <w:p>
      <w:pPr>
        <w:pStyle w:val="Heading3"/>
      </w:pPr>
      <w:r>
        <w:t xml:space="preserve">Logistics Data - Transportation (Scope 3, Categories 4 &amp; 9)</w:t>
      </w:r>
    </w:p>
    <w:p>
      <w:pPr>
        <w:numPr>
          <w:ilvl w:val="0"/>
          <w:numId w:val="1003"/>
        </w:numPr>
        <w:pStyle w:val="Compact"/>
      </w:pPr>
      <w:r>
        <w:rPr>
          <w:bCs/>
          <w:b/>
        </w:rPr>
        <w:t xml:space="preserve">Transport Mode (China to Europe):</w:t>
      </w:r>
      <w:r>
        <w:t xml:space="preserve"> </w:t>
      </w:r>
      <w:r>
        <w:t xml:space="preserve">Sea Freight (Container Ship)</w:t>
      </w:r>
    </w:p>
    <w:p>
      <w:pPr>
        <w:numPr>
          <w:ilvl w:val="0"/>
          <w:numId w:val="1003"/>
        </w:numPr>
        <w:pStyle w:val="Compact"/>
      </w:pPr>
      <w:r>
        <w:rPr>
          <w:bCs/>
          <w:b/>
        </w:rPr>
        <w:t xml:space="preserve">Transport Distance (Sea Freight):</w:t>
      </w:r>
      <w:r>
        <w:t xml:space="preserve"> </w:t>
      </w:r>
      <w:r>
        <w:t xml:space="preserve">15,000 km (Assumed for long-haul shipping from China to a major European port)</w:t>
      </w:r>
    </w:p>
    <w:p>
      <w:pPr>
        <w:numPr>
          <w:ilvl w:val="0"/>
          <w:numId w:val="1003"/>
        </w:numPr>
        <w:pStyle w:val="Compact"/>
      </w:pPr>
      <w:r>
        <w:rPr>
          <w:bCs/>
          <w:b/>
        </w:rPr>
        <w:t xml:space="preserve">Sea Freight Emission Factor:</w:t>
      </w:r>
      <w:r>
        <w:t xml:space="preserve"> </w:t>
      </w:r>
      <w:r>
        <w:t xml:space="preserve">0.016 kgCO2e/tonne-km</w:t>
      </w:r>
    </w:p>
    <w:p>
      <w:pPr>
        <w:numPr>
          <w:ilvl w:val="0"/>
          <w:numId w:val="1003"/>
        </w:numPr>
        <w:pStyle w:val="Compact"/>
      </w:pPr>
      <w:r>
        <w:rPr>
          <w:bCs/>
          <w:b/>
        </w:rPr>
        <w:t xml:space="preserve">Transport Mode (Europe Port to Distribution/Customer):</w:t>
      </w:r>
      <w:r>
        <w:t xml:space="preserve"> </w:t>
      </w:r>
      <w:r>
        <w:t xml:space="preserve">Road Freight (HGV for primary distribution, LCV for last-mile)</w:t>
      </w:r>
    </w:p>
    <w:p>
      <w:pPr>
        <w:numPr>
          <w:ilvl w:val="0"/>
          <w:numId w:val="1003"/>
        </w:numPr>
        <w:pStyle w:val="Compact"/>
      </w:pPr>
      <w:r>
        <w:rPr>
          <w:bCs/>
          <w:b/>
        </w:rPr>
        <w:t xml:space="preserve">Transport Distance (Road Freight, Primary):</w:t>
      </w:r>
      <w:r>
        <w:t xml:space="preserve"> </w:t>
      </w:r>
      <w:r>
        <w:t xml:space="preserve">400 km (Assumed within Europe)</w:t>
      </w:r>
    </w:p>
    <w:p>
      <w:pPr>
        <w:numPr>
          <w:ilvl w:val="0"/>
          <w:numId w:val="1003"/>
        </w:numPr>
        <w:pStyle w:val="Compact"/>
      </w:pPr>
      <w:r>
        <w:rPr>
          <w:bCs/>
          <w:b/>
        </w:rPr>
        <w:t xml:space="preserve">Road Freight (HGV) Emission Factor:</w:t>
      </w:r>
      <w:r>
        <w:t xml:space="preserve"> </w:t>
      </w:r>
      <w:r>
        <w:t xml:space="preserve">0.07 kgCO2e/tonne-km (Representative of HGV, derived from)</w:t>
      </w:r>
    </w:p>
    <w:p>
      <w:pPr>
        <w:numPr>
          <w:ilvl w:val="0"/>
          <w:numId w:val="1003"/>
        </w:numPr>
        <w:pStyle w:val="Compact"/>
      </w:pPr>
      <w:r>
        <w:rPr>
          <w:bCs/>
          <w:b/>
        </w:rPr>
        <w:t xml:space="preserve">Last-Mile Delivery Channel:</w:t>
      </w:r>
      <w:r>
        <w:t xml:space="preserve"> </w:t>
      </w:r>
      <w:r>
        <w:t xml:space="preserve">Delivery Type (Assumed Road Freight - Light Commercial Vehicle)</w:t>
      </w:r>
    </w:p>
    <w:p>
      <w:pPr>
        <w:numPr>
          <w:ilvl w:val="0"/>
          <w:numId w:val="1003"/>
        </w:numPr>
        <w:pStyle w:val="Compact"/>
      </w:pPr>
      <w:r>
        <w:rPr>
          <w:bCs/>
          <w:b/>
        </w:rPr>
        <w:t xml:space="preserve">Transport Distance (Last-Mile):</w:t>
      </w:r>
      <w:r>
        <w:t xml:space="preserve"> </w:t>
      </w:r>
      <w:r>
        <w:t xml:space="preserve">100 km (Assumed short-haul to final customer)</w:t>
      </w:r>
    </w:p>
    <w:p>
      <w:pPr>
        <w:numPr>
          <w:ilvl w:val="0"/>
          <w:numId w:val="1003"/>
        </w:numPr>
        <w:pStyle w:val="Compact"/>
      </w:pPr>
      <w:r>
        <w:rPr>
          <w:bCs/>
          <w:b/>
        </w:rPr>
        <w:t xml:space="preserve">Road Freight (LCV) Emission Factor (assumed):</w:t>
      </w:r>
      <w:r>
        <w:t xml:space="preserve"> </w:t>
      </w:r>
      <w:r>
        <w:t xml:space="preserve">0.1 kgCO2e/tonne-km (Conservative estimate for light commercial vehicle last-mile delivery)</w:t>
      </w:r>
    </w:p>
    <w:bookmarkEnd w:id="25"/>
    <w:bookmarkStart w:id="26" w:name="X504a836fec63bd5faf039d3cca5ee677f87550f"/>
    <w:p>
      <w:pPr>
        <w:pStyle w:val="Heading3"/>
      </w:pPr>
      <w:r>
        <w:t xml:space="preserve">Product Use Phase Data (Scope 3, Category 11)</w:t>
      </w:r>
    </w:p>
    <w:p>
      <w:pPr>
        <w:numPr>
          <w:ilvl w:val="0"/>
          <w:numId w:val="1004"/>
        </w:numPr>
        <w:pStyle w:val="Compact"/>
      </w:pPr>
      <w:r>
        <w:rPr>
          <w:bCs/>
          <w:b/>
        </w:rPr>
        <w:t xml:space="preserve">Product Lifespan:</w:t>
      </w:r>
      <w:r>
        <w:t xml:space="preserve"> </w:t>
      </w:r>
      <w:r>
        <w:t xml:space="preserve">vzvwouinhf (Assumed 5 years)</w:t>
      </w:r>
    </w:p>
    <w:p>
      <w:pPr>
        <w:numPr>
          <w:ilvl w:val="0"/>
          <w:numId w:val="1004"/>
        </w:numPr>
        <w:pStyle w:val="Compact"/>
      </w:pPr>
      <w:r>
        <w:rPr>
          <w:bCs/>
          <w:b/>
        </w:rPr>
        <w:t xml:space="preserve">Energy Consumption in Use:</w:t>
      </w:r>
      <w:r>
        <w:t xml:space="preserve"> </w:t>
      </w:r>
      <w:r>
        <w:t xml:space="preserve">yvdjylismd (Assumed 10 kWh/year)</w:t>
      </w:r>
    </w:p>
    <w:p>
      <w:pPr>
        <w:numPr>
          <w:ilvl w:val="0"/>
          <w:numId w:val="1004"/>
        </w:numPr>
        <w:pStyle w:val="Compact"/>
      </w:pPr>
      <w:r>
        <w:rPr>
          <w:bCs/>
          <w:b/>
        </w:rPr>
        <w:t xml:space="preserve">Grid Electricity Emission Factor (Generic EU Average):</w:t>
      </w:r>
      <w:r>
        <w:t xml:space="preserve"> </w:t>
      </w:r>
      <w:r>
        <w:t xml:space="preserve">0.27 kgCO2e/kWh (Assumption for typical European consumption)</w:t>
      </w:r>
    </w:p>
    <w:bookmarkEnd w:id="26"/>
    <w:bookmarkStart w:id="27" w:name="X3261202975bfccb1283f2bd5fabef2dfdbe9c90"/>
    <w:p>
      <w:pPr>
        <w:pStyle w:val="Heading3"/>
      </w:pPr>
      <w:r>
        <w:t xml:space="preserve">End-of-Life (EoL) Scenarios (Scope 3, Category 12)</w:t>
      </w:r>
    </w:p>
    <w:p>
      <w:pPr>
        <w:numPr>
          <w:ilvl w:val="0"/>
          <w:numId w:val="1005"/>
        </w:numPr>
        <w:pStyle w:val="Compact"/>
      </w:pPr>
      <w:r>
        <w:rPr>
          <w:bCs/>
          <w:b/>
        </w:rPr>
        <w:t xml:space="preserve">Recyclability Percentage:</w:t>
      </w:r>
      <w:r>
        <w:t xml:space="preserve"> </w:t>
      </w:r>
      <w:r>
        <w:t xml:space="preserve">optywylvmk (Assumed 80%)</w:t>
      </w:r>
    </w:p>
    <w:p>
      <w:pPr>
        <w:numPr>
          <w:ilvl w:val="0"/>
          <w:numId w:val="1005"/>
        </w:numPr>
        <w:pStyle w:val="Compact"/>
      </w:pPr>
      <w:r>
        <w:rPr>
          <w:bCs/>
          <w:b/>
        </w:rPr>
        <w:t xml:space="preserve">Circular/Take-back Programs:</w:t>
      </w:r>
      <w:r>
        <w:t xml:space="preserve"> </w:t>
      </w:r>
      <w:r>
        <w:t xml:space="preserve">zmqrttkeeo (Assumed Yes, established take-back scheme)</w:t>
      </w:r>
    </w:p>
    <w:p>
      <w:r>
        <w:pict>
          <v:rect style="width:0;height:1.5pt" o:hralign="center" o:hrstd="t" o:hr="t"/>
        </w:pict>
      </w:r>
    </w:p>
    <w:bookmarkEnd w:id="27"/>
    <w:bookmarkEnd w:id="28"/>
    <w:bookmarkStart w:id="37" w:name="X3720d7d0541b3a6e3c473bd4daa188ddb828856"/>
    <w:p>
      <w:pPr>
        <w:pStyle w:val="Heading2"/>
      </w:pPr>
      <w:r>
        <w:t xml:space="preserve">4. Calculating Emissions (Activity * Emission Factor = CO2e)</w:t>
      </w:r>
    </w:p>
    <w:p>
      <w:pPr>
        <w:pStyle w:val="FirstParagraph"/>
      </w:pPr>
      <w:r>
        <w:t xml:space="preserve">Emissions are categorized and calculated according to the GHG Protocol. For a Product Carbon Footprint, most emissions will fall under Scope 3, as direct emissions from the reporting company\'s operations (Scope 1) and purchased energy (Scope 2) relate to the manufacturing process itself, which is part of the "factory gate" boundary.</w:t>
      </w:r>
    </w:p>
    <w:bookmarkStart w:id="29" w:name="X3d31f3b348f3e96ae8f5593945c0e0ba7b62415"/>
    <w:p>
      <w:pPr>
        <w:pStyle w:val="Heading3"/>
      </w:pPr>
      <w:r>
        <w:t xml:space="preserve">Scope 1: Direct GHG Emissions (Not directly applicable to PCF under \'factory-gate\' for raw material/transport)</w:t>
      </w:r>
    </w:p>
    <w:p>
      <w:pPr>
        <w:pStyle w:val="FirstParagraph"/>
      </w:pPr>
      <w:r>
        <w:t xml:space="preserve">For a product-level assessment with a \'factory_gate\' system boundary, Scope 1 emissions would typically refer to direct emissions from the manufacturing facility (e.g., combustion of fuels in boilers, owned vehicles on site). As the prompt focuses on PCF, these are embedded within the production process accounted for by energy intensity and material processing. For rhewlpjrrk, we assume no direct process emissions by tttxmxumnl that are not captured within the material or energy consumption. If tttxmxumnl owned and operated the China manufacturing facility, its direct fuel consumption would fall here. Given the scope, the focus is on the product\'s value chain.</w:t>
      </w:r>
    </w:p>
    <w:bookmarkEnd w:id="29"/>
    <w:bookmarkStart w:id="30" w:name="Xed5f2d18a4833d63491a5b194309f0765786a0e"/>
    <w:p>
      <w:pPr>
        <w:pStyle w:val="Heading3"/>
      </w:pPr>
      <w:r>
        <w:t xml:space="preserve">Scope 2: Indirect GHG Emissions from Purchased Energy (Manufacturing)</w:t>
      </w:r>
    </w:p>
    <w:p>
      <w:pPr>
        <w:pStyle w:val="FirstParagraph"/>
      </w:pPr>
      <w:r>
        <w:t xml:space="preserve">This covers emissions from the generation of purchased electricity for the manufacturing of rhewlpjrrk in China.</w:t>
      </w:r>
    </w:p>
    <w:p>
      <w:pPr>
        <w:numPr>
          <w:ilvl w:val="0"/>
          <w:numId w:val="1006"/>
        </w:numPr>
        <w:pStyle w:val="Compact"/>
      </w:pPr>
      <w:r>
        <w:t xml:space="preserve">Energy Intensity: 25 kWh/unit</w:t>
      </w:r>
    </w:p>
    <w:p>
      <w:pPr>
        <w:numPr>
          <w:ilvl w:val="0"/>
          <w:numId w:val="1006"/>
        </w:numPr>
        <w:pStyle w:val="Compact"/>
      </w:pPr>
      <w:r>
        <w:t xml:space="preserve">Renewable Energy Usage: 75%</w:t>
      </w:r>
    </w:p>
    <w:p>
      <w:pPr>
        <w:numPr>
          <w:ilvl w:val="0"/>
          <w:numId w:val="1006"/>
        </w:numPr>
        <w:pStyle w:val="Compact"/>
      </w:pPr>
      <w:r>
        <w:t xml:space="preserve">Non-renewable energy portion: 25 kWh/unit * (1 - 0.75) = 6.25 kWh/unit</w:t>
      </w:r>
    </w:p>
    <w:p>
      <w:pPr>
        <w:numPr>
          <w:ilvl w:val="0"/>
          <w:numId w:val="1006"/>
        </w:numPr>
        <w:pStyle w:val="Compact"/>
      </w:pPr>
      <w:r>
        <w:t xml:space="preserve">Electricity Emission Factor (China Grid Mix): 0.556 kgCO2e/kWh</w:t>
      </w:r>
    </w:p>
    <w:p>
      <w:pPr>
        <w:numPr>
          <w:ilvl w:val="0"/>
          <w:numId w:val="1006"/>
        </w:numPr>
        <w:pStyle w:val="Compact"/>
      </w:pPr>
      <w:r>
        <w:rPr>
          <w:bCs/>
          <w:b/>
        </w:rPr>
        <w:t xml:space="preserve">Scope 2 Emissions = 6.25 kWh/unit * 0.556 kgCO2e/kWh = 3.475 kgCO2e/unit</w:t>
      </w:r>
    </w:p>
    <w:bookmarkEnd w:id="30"/>
    <w:bookmarkStart w:id="35" w:name="X87297756d726aa51a7f4c6b0bd300fdfb4bdf9a"/>
    <w:p>
      <w:pPr>
        <w:pStyle w:val="Heading3"/>
      </w:pPr>
      <w:r>
        <w:t xml:space="preserve">Scope 3: Other Indirect GHG Emissions (Value Chain)</w:t>
      </w:r>
    </w:p>
    <w:p>
      <w:pPr>
        <w:pStyle w:val="FirstParagraph"/>
      </w:pPr>
      <w:r>
        <w:t xml:space="preserve">Scope 3 emissions are all other indirect emissions that occur in the value chain of tttxmxumnl, both upstream and downstream. These often represent the largest portion of a product\'s carbon footprint.</w:t>
      </w:r>
    </w:p>
    <w:bookmarkStart w:id="31"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for rhewlpjrrk. The "Total Carbon" provided in the BOM is used directly.</w:t>
      </w:r>
    </w:p>
    <w:p>
      <w:pPr>
        <w:numPr>
          <w:ilvl w:val="0"/>
          <w:numId w:val="1007"/>
        </w:numPr>
        <w:pStyle w:val="Compact"/>
      </w:pPr>
      <w:r>
        <w:t xml:space="preserve">Aluminum Casing: 3.5 kgCO2e</w:t>
      </w:r>
    </w:p>
    <w:p>
      <w:pPr>
        <w:numPr>
          <w:ilvl w:val="0"/>
          <w:numId w:val="1007"/>
        </w:numPr>
        <w:pStyle w:val="Compact"/>
      </w:pPr>
      <w:r>
        <w:t xml:space="preserve">Plastic Enclosure: 0.9 kgCO2e</w:t>
      </w:r>
    </w:p>
    <w:p>
      <w:pPr>
        <w:numPr>
          <w:ilvl w:val="0"/>
          <w:numId w:val="1007"/>
        </w:numPr>
        <w:pStyle w:val="Compact"/>
      </w:pPr>
      <w:r>
        <w:t xml:space="preserve">Circuit Board: 1.5 kgCO2e</w:t>
      </w:r>
    </w:p>
    <w:p>
      <w:pPr>
        <w:numPr>
          <w:ilvl w:val="0"/>
          <w:numId w:val="1007"/>
        </w:numPr>
        <w:pStyle w:val="Compact"/>
      </w:pPr>
      <w:r>
        <w:t xml:space="preserve">Copper Wiring: 0.2 kgCO2e</w:t>
      </w:r>
    </w:p>
    <w:p>
      <w:pPr>
        <w:numPr>
          <w:ilvl w:val="0"/>
          <w:numId w:val="1007"/>
        </w:numPr>
        <w:pStyle w:val="Compact"/>
      </w:pPr>
      <w:r>
        <w:t xml:space="preserve">Packaging Cardboard: 0.3 kgCO2e</w:t>
      </w:r>
    </w:p>
    <w:p>
      <w:pPr>
        <w:numPr>
          <w:ilvl w:val="0"/>
          <w:numId w:val="1007"/>
        </w:numPr>
        <w:pStyle w:val="Compact"/>
      </w:pPr>
      <w:r>
        <w:rPr>
          <w:bCs/>
          <w:b/>
        </w:rPr>
        <w:t xml:space="preserve">Total Scope 3, Category 1 Emissions = 3.5 + 0.9 + 1.5 + 0.2 + 0.3 = 6.4 kgCO2e/unit</w:t>
      </w:r>
    </w:p>
    <w:bookmarkEnd w:id="31"/>
    <w:bookmarkStart w:id="32" w:name="Xe89e0a56fad43ffa0ef954ec8eb4af10b66d99f"/>
    <w:p>
      <w:pPr>
        <w:pStyle w:val="Heading4"/>
      </w:pPr>
      <w:r>
        <w:t xml:space="preserve">Category 4 &amp; 9: Transportation and Distribution (Upstream &amp; Downstream)</w:t>
      </w:r>
    </w:p>
    <w:p>
      <w:pPr>
        <w:pStyle w:val="FirstParagraph"/>
      </w:pPr>
      <w:r>
        <w:t xml:space="preserve">This covers emissions from transporting raw materials, intermediate products, and the final product. Product mass for transport calculations is assumed to be 1.15 kg (including packaging).</w:t>
      </w:r>
    </w:p>
    <w:p>
      <w:pPr>
        <w:numPr>
          <w:ilvl w:val="0"/>
          <w:numId w:val="1008"/>
        </w:numPr>
        <w:pStyle w:val="Compact"/>
      </w:pPr>
      <w:r>
        <w:rPr>
          <w:bCs/>
          <w:b/>
        </w:rPr>
        <w:t xml:space="preserve">Sea Freight (China to Europe):</w:t>
      </w:r>
    </w:p>
    <w:p>
      <w:pPr>
        <w:numPr>
          <w:ilvl w:val="1"/>
          <w:numId w:val="1009"/>
        </w:numPr>
        <w:pStyle w:val="Compact"/>
      </w:pPr>
      <w:r>
        <w:t xml:space="preserve">Distance: 15,000 km</w:t>
      </w:r>
    </w:p>
    <w:p>
      <w:pPr>
        <w:numPr>
          <w:ilvl w:val="1"/>
          <w:numId w:val="1009"/>
        </w:numPr>
        <w:pStyle w:val="Compact"/>
      </w:pPr>
      <w:r>
        <w:t xml:space="preserve">Product Weight: 0.00115 tonnes (1.15 kg)</w:t>
      </w:r>
    </w:p>
    <w:p>
      <w:pPr>
        <w:numPr>
          <w:ilvl w:val="1"/>
          <w:numId w:val="1009"/>
        </w:numPr>
        <w:pStyle w:val="Compact"/>
      </w:pPr>
      <w:r>
        <w:t xml:space="preserve">Emission Factor: 0.016 kgCO2e/tonne-km</w:t>
      </w:r>
    </w:p>
    <w:p>
      <w:pPr>
        <w:numPr>
          <w:ilvl w:val="1"/>
          <w:numId w:val="1009"/>
        </w:numPr>
        <w:pStyle w:val="Compact"/>
      </w:pPr>
      <w:r>
        <w:t xml:space="preserve">Emissions = 0.00115 t * 15,000 km * 0.016 kgCO2e/tonne-km = 0.276 kgCO2e/unit</w:t>
      </w:r>
    </w:p>
    <w:p>
      <w:pPr>
        <w:numPr>
          <w:ilvl w:val="0"/>
          <w:numId w:val="1008"/>
        </w:numPr>
        <w:pStyle w:val="Compact"/>
      </w:pPr>
      <w:r>
        <w:rPr>
          <w:bCs/>
          <w:b/>
        </w:rPr>
        <w:t xml:space="preserve">Road Freight (Europe Port to Distribution Center):</w:t>
      </w:r>
    </w:p>
    <w:p>
      <w:pPr>
        <w:numPr>
          <w:ilvl w:val="1"/>
          <w:numId w:val="1010"/>
        </w:numPr>
        <w:pStyle w:val="Compact"/>
      </w:pPr>
      <w:r>
        <w:t xml:space="preserve">Distance: 400 km</w:t>
      </w:r>
    </w:p>
    <w:p>
      <w:pPr>
        <w:numPr>
          <w:ilvl w:val="1"/>
          <w:numId w:val="1010"/>
        </w:numPr>
        <w:pStyle w:val="Compact"/>
      </w:pPr>
      <w:r>
        <w:t xml:space="preserve">Product Weight: 0.00115 tonnes</w:t>
      </w:r>
    </w:p>
    <w:p>
      <w:pPr>
        <w:numPr>
          <w:ilvl w:val="1"/>
          <w:numId w:val="1010"/>
        </w:numPr>
        <w:pStyle w:val="Compact"/>
      </w:pPr>
      <w:r>
        <w:t xml:space="preserve">Emission Factor (HGV): 0.07 kgCO2e/tonne-km</w:t>
      </w:r>
    </w:p>
    <w:p>
      <w:pPr>
        <w:numPr>
          <w:ilvl w:val="1"/>
          <w:numId w:val="1010"/>
        </w:numPr>
        <w:pStyle w:val="Compact"/>
      </w:pPr>
      <w:r>
        <w:t xml:space="preserve">Emissions = 0.00115 t * 400 km * 0.07 kgCO2e/tonne-km = 0.0322 kgCO2e/unit</w:t>
      </w:r>
    </w:p>
    <w:p>
      <w:pPr>
        <w:numPr>
          <w:ilvl w:val="0"/>
          <w:numId w:val="1008"/>
        </w:numPr>
        <w:pStyle w:val="Compact"/>
      </w:pPr>
      <w:r>
        <w:rPr>
          <w:bCs/>
          <w:b/>
        </w:rPr>
        <w:t xml:space="preserve">Last-Mile Delivery (Distribution Center to Customer):</w:t>
      </w:r>
    </w:p>
    <w:p>
      <w:pPr>
        <w:numPr>
          <w:ilvl w:val="1"/>
          <w:numId w:val="1011"/>
        </w:numPr>
        <w:pStyle w:val="Compact"/>
      </w:pPr>
      <w:r>
        <w:t xml:space="preserve">Distance: 100 km</w:t>
      </w:r>
    </w:p>
    <w:p>
      <w:pPr>
        <w:numPr>
          <w:ilvl w:val="1"/>
          <w:numId w:val="1011"/>
        </w:numPr>
        <w:pStyle w:val="Compact"/>
      </w:pPr>
      <w:r>
        <w:t xml:space="preserve">Product Weight: 0.00115 tonnes</w:t>
      </w:r>
    </w:p>
    <w:p>
      <w:pPr>
        <w:numPr>
          <w:ilvl w:val="1"/>
          <w:numId w:val="1011"/>
        </w:numPr>
        <w:pStyle w:val="Compact"/>
      </w:pPr>
      <w:r>
        <w:t xml:space="preserve">Emission Factor (LCV - assumed): 0.1 kgCO2e/tonne-km</w:t>
      </w:r>
    </w:p>
    <w:p>
      <w:pPr>
        <w:numPr>
          <w:ilvl w:val="1"/>
          <w:numId w:val="1011"/>
        </w:numPr>
        <w:pStyle w:val="Compact"/>
      </w:pPr>
      <w:r>
        <w:t xml:space="preserve">Emissions = 0.00115 t * 100 km * 0.1 kgCO2e/tonne-km = 0.0115 kgCO2e/unit</w:t>
      </w:r>
    </w:p>
    <w:p>
      <w:pPr>
        <w:numPr>
          <w:ilvl w:val="0"/>
          <w:numId w:val="1008"/>
        </w:numPr>
        <w:pStyle w:val="Compact"/>
      </w:pPr>
      <w:r>
        <w:rPr>
          <w:bCs/>
          <w:b/>
        </w:rPr>
        <w:t xml:space="preserve">Total Scope 3, Categories 4 &amp; 9 Emissions = 0.276 + 0.0322 + 0.0115 = 0.3197 kgCO2e/unit</w:t>
      </w:r>
    </w:p>
    <w:bookmarkEnd w:id="32"/>
    <w:bookmarkStart w:id="33" w:name="category-11-use-of-sold-products"/>
    <w:p>
      <w:pPr>
        <w:pStyle w:val="Heading4"/>
      </w:pPr>
      <w:r>
        <w:t xml:space="preserve">Category 11: Use of Sold Products</w:t>
      </w:r>
    </w:p>
    <w:p>
      <w:pPr>
        <w:pStyle w:val="FirstParagraph"/>
      </w:pPr>
      <w:r>
        <w:t xml:space="preserve">This accounts for emissions during the product\'s operational life, primarily from electricity consumption.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Electricity Emission Factor (Generic EU Average): 0.27 kgCO2e/kWh (assumed)</w:t>
      </w:r>
    </w:p>
    <w:p>
      <w:pPr>
        <w:numPr>
          <w:ilvl w:val="0"/>
          <w:numId w:val="1012"/>
        </w:numPr>
        <w:pStyle w:val="Compact"/>
      </w:pPr>
      <w:r>
        <w:rPr>
          <w:bCs/>
          <w:b/>
        </w:rPr>
        <w:t xml:space="preserve">Scope 3, Category 11 Emissions = 10 kWh/year * 5 years * 0.27 kgCO2e/kWh = 13.5 kgCO2e/unit</w:t>
      </w:r>
    </w:p>
    <w:bookmarkEnd w:id="33"/>
    <w:bookmarkStart w:id="34" w:name="X9f66eef2700632e081dfe139021cb724ffcd2c5"/>
    <w:p>
      <w:pPr>
        <w:pStyle w:val="Heading4"/>
      </w:pPr>
      <w:r>
        <w:t xml:space="preserve">Category 12: End-of-Life Treatment of Sold Products</w:t>
      </w:r>
    </w:p>
    <w:p>
      <w:pPr>
        <w:pStyle w:val="FirstParagraph"/>
      </w:pPr>
      <w:r>
        <w:t xml:space="preserve">This includes emissions from the disposal and treatment of rhewlpjrrk at the end of its life. While the \'factory_gate\' boundary usually excludes downstream, the requirement is to reflect circular economy impacts.</w:t>
      </w:r>
    </w:p>
    <w:p>
      <w:pPr>
        <w:numPr>
          <w:ilvl w:val="0"/>
          <w:numId w:val="1013"/>
        </w:numPr>
        <w:pStyle w:val="Compact"/>
      </w:pPr>
      <w:r>
        <w:t xml:space="preserve">Recyclability Percentage: 80%</w:t>
      </w:r>
    </w:p>
    <w:p>
      <w:pPr>
        <w:numPr>
          <w:ilvl w:val="0"/>
          <w:numId w:val="1013"/>
        </w:numPr>
        <w:pStyle w:val="Compact"/>
      </w:pPr>
      <w:r>
        <w:t xml:space="preserve">Non-recycled portion: 20% of product mass (0.95 kg for the core product, excluding packaging which is mostly recycled separately) = 0.19 kg</w:t>
      </w:r>
    </w:p>
    <w:p>
      <w:pPr>
        <w:numPr>
          <w:ilvl w:val="0"/>
          <w:numId w:val="1013"/>
        </w:numPr>
        <w:pStyle w:val="Compact"/>
      </w:pPr>
      <w:r>
        <w:t xml:space="preserve">Assuming a generic EoL emission factor for non-recycled waste (e.g., incineration/landfill with some energy recovery offsets, or conservative landfill emissions): Let\'s assume 1.0 kgCO2e/kg for non-recycled waste (this is a simplified assumption; real values vary widely by material and EoL pathway).</w:t>
      </w:r>
    </w:p>
    <w:p>
      <w:pPr>
        <w:numPr>
          <w:ilvl w:val="0"/>
          <w:numId w:val="1013"/>
        </w:numPr>
        <w:pStyle w:val="Compact"/>
      </w:pPr>
      <w:r>
        <w:t xml:space="preserve">Credit for recycled material (assuming a closed-loop recycling benefit, this is typically negative emissions from avoided virgin material production). Given an established take-back scheme, a credit can be applied. For simplicity in a PCF, we will account for the burden of the non-recycled portion. A full LCA would include credits.</w:t>
      </w:r>
    </w:p>
    <w:p>
      <w:pPr>
        <w:numPr>
          <w:ilvl w:val="0"/>
          <w:numId w:val="1013"/>
        </w:numPr>
        <w:pStyle w:val="Compact"/>
      </w:pPr>
      <w:r>
        <w:rPr>
          <w:bCs/>
          <w:b/>
        </w:rPr>
        <w:t xml:space="preserve">Scope 3, Category 12 Emissions = 0.19 kg * 1.0 kgCO2e/kg = 0.19 kgCO2e/unit</w:t>
      </w:r>
      <w:r>
        <w:t xml:space="preserve"> </w:t>
      </w:r>
      <w:r>
        <w:t xml:space="preserve">(Note: This is a simplified burden approach for non-recycled content. A detailed LCA might include specific credits for recycling.)</w:t>
      </w:r>
    </w:p>
    <w:bookmarkEnd w:id="34"/>
    <w:bookmarkEnd w:id="35"/>
    <w:bookmarkStart w:id="36" w:name="total-product-carbon-footprint"/>
    <w:p>
      <w:pPr>
        <w:pStyle w:val="Heading3"/>
      </w:pPr>
      <w:r>
        <w:t xml:space="preserve">Total Product Carbon Footprint</w:t>
      </w:r>
    </w:p>
    <w:p>
      <w:pPr>
        <w:pStyle w:val="FirstParagraph"/>
      </w:pPr>
      <w:r>
        <w:t xml:space="preserve">Total PCF for rhewlpjrrk (per functional unit) = Sum of all calculated emissions.</w:t>
      </w:r>
    </w:p>
    <w:p>
      <w:pPr>
        <w:numPr>
          <w:ilvl w:val="0"/>
          <w:numId w:val="1014"/>
        </w:numPr>
        <w:pStyle w:val="Compact"/>
      </w:pPr>
      <w:r>
        <w:t xml:space="preserve">Scope 2 (Manufacturing Energy): 3.475 kgCO2e/unit</w:t>
      </w:r>
    </w:p>
    <w:p>
      <w:pPr>
        <w:numPr>
          <w:ilvl w:val="0"/>
          <w:numId w:val="1014"/>
        </w:numPr>
        <w:pStyle w:val="Compact"/>
      </w:pPr>
      <w:r>
        <w:t xml:space="preserve">Scope 3, Category 1 (Materials): 6.4 kgCO2e/unit</w:t>
      </w:r>
    </w:p>
    <w:p>
      <w:pPr>
        <w:numPr>
          <w:ilvl w:val="0"/>
          <w:numId w:val="1014"/>
        </w:numPr>
        <w:pStyle w:val="Compact"/>
      </w:pPr>
      <w:r>
        <w:t xml:space="preserve">Scope 3, Categories 4 &amp; 9 (Transport): 0.3197 kgCO2e/unit</w:t>
      </w:r>
    </w:p>
    <w:p>
      <w:pPr>
        <w:numPr>
          <w:ilvl w:val="0"/>
          <w:numId w:val="1014"/>
        </w:numPr>
        <w:pStyle w:val="Compact"/>
      </w:pPr>
      <w:r>
        <w:t xml:space="preserve">Scope 3, Category 11 (Use Phase): 13.5 kgCO2e/unit</w:t>
      </w:r>
    </w:p>
    <w:p>
      <w:pPr>
        <w:numPr>
          <w:ilvl w:val="0"/>
          <w:numId w:val="1014"/>
        </w:numPr>
        <w:pStyle w:val="Compact"/>
      </w:pPr>
      <w:r>
        <w:t xml:space="preserve">Scope 3, Category 12 (End-of-Life): 0.19 kgCO2e/unit</w:t>
      </w:r>
    </w:p>
    <w:p>
      <w:pPr>
        <w:numPr>
          <w:ilvl w:val="0"/>
          <w:numId w:val="1014"/>
        </w:numPr>
        <w:pStyle w:val="Compact"/>
      </w:pPr>
      <w:r>
        <w:rPr>
          <w:bCs/>
          <w:b/>
        </w:rPr>
        <w:t xml:space="preserve">Total PCF = 3.475 + 6.4 + 0.3197 + 13.5 + 0.19 = 23.8847 kgCO2e/unit</w:t>
      </w:r>
    </w:p>
    <w:p>
      <w:pPr>
        <w:pStyle w:val="FirstParagraph"/>
      </w:pPr>
      <w:r>
        <w:rPr>
          <w:bCs/>
          <w:b/>
        </w:rPr>
        <w:t xml:space="preserve">Breakdown by Scope:</w:t>
      </w:r>
    </w:p>
    <w:p>
      <w:pPr>
        <w:numPr>
          <w:ilvl w:val="0"/>
          <w:numId w:val="1015"/>
        </w:numPr>
        <w:pStyle w:val="Compact"/>
      </w:pPr>
      <w:r>
        <w:rPr>
          <w:bCs/>
          <w:b/>
        </w:rPr>
        <w:t xml:space="preserve">Scope 1:</w:t>
      </w:r>
      <w:r>
        <w:t xml:space="preserve"> </w:t>
      </w:r>
      <w:r>
        <w:t xml:space="preserve">0 kgCO2e/unit (direct emissions from owned/controlled sources; assumed to be captured in Scope 2 or Scope 3 categories as per the \'factory_gate\' PCF boundary)</w:t>
      </w:r>
    </w:p>
    <w:p>
      <w:pPr>
        <w:numPr>
          <w:ilvl w:val="0"/>
          <w:numId w:val="1015"/>
        </w:numPr>
        <w:pStyle w:val="Compact"/>
      </w:pPr>
      <w:r>
        <w:rPr>
          <w:bCs/>
          <w:b/>
        </w:rPr>
        <w:t xml:space="preserve">Scope 2:</w:t>
      </w:r>
      <w:r>
        <w:t xml:space="preserve"> </w:t>
      </w:r>
      <w:r>
        <w:t xml:space="preserve">3.475 kgCO2e/unit (14.55% of total)</w:t>
      </w:r>
    </w:p>
    <w:p>
      <w:pPr>
        <w:numPr>
          <w:ilvl w:val="0"/>
          <w:numId w:val="1015"/>
        </w:numPr>
        <w:pStyle w:val="Compact"/>
      </w:pPr>
      <w:r>
        <w:rPr>
          <w:bCs/>
          <w:b/>
        </w:rPr>
        <w:t xml:space="preserve">Scope 3:</w:t>
      </w:r>
      <w:r>
        <w:t xml:space="preserve"> </w:t>
      </w:r>
      <w:r>
        <w:t xml:space="preserve">6.4 + 0.3197 + 13.5 + 0.19 = 20.4097 kgCO2e/unit (85.45% of total)</w:t>
      </w:r>
    </w:p>
    <w:p>
      <w:r>
        <w:pict>
          <v:rect style="width:0;height:1.5pt" o:hralign="center" o:hrstd="t" o:hr="t"/>
        </w:pict>
      </w:r>
    </w:p>
    <w:bookmarkEnd w:id="36"/>
    <w:bookmarkEnd w:id="37"/>
    <w:bookmarkStart w:id="42"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the following key emission hotspots for rhewlpjrrk:</w:t>
      </w:r>
    </w:p>
    <w:p>
      <w:pPr>
        <w:numPr>
          <w:ilvl w:val="0"/>
          <w:numId w:val="1016"/>
        </w:numPr>
        <w:pStyle w:val="Compact"/>
      </w:pPr>
      <w:r>
        <w:rPr>
          <w:bCs/>
          <w:b/>
        </w:rPr>
        <w:t xml:space="preserve">Use Phase (13.5 kgCO2e/unit):</w:t>
      </w:r>
      <w:r>
        <w:t xml:space="preserve"> </w:t>
      </w:r>
      <w:r>
        <w:t xml:space="preserve">This constitutes the largest portion of the PCF (approximately 56.5%), driven by the product\'s energy consumption over its 5-year lifespan and the assumed electricity mix in Europe.</w:t>
      </w:r>
    </w:p>
    <w:p>
      <w:pPr>
        <w:numPr>
          <w:ilvl w:val="0"/>
          <w:numId w:val="1016"/>
        </w:numPr>
        <w:pStyle w:val="Compact"/>
      </w:pPr>
      <w:r>
        <w:rPr>
          <w:bCs/>
          <w:b/>
        </w:rPr>
        <w:t xml:space="preserve">Material Acquisition (6.4 kgCO2e/unit):</w:t>
      </w:r>
      <w:r>
        <w:t xml:space="preserve"> </w:t>
      </w:r>
      <w:r>
        <w:t xml:space="preserve">Represents the second largest hotspot (approximately 26.8%), highlighting the carbon intensity of materials like aluminum and circuit board components.</w:t>
      </w:r>
    </w:p>
    <w:p>
      <w:pPr>
        <w:numPr>
          <w:ilvl w:val="0"/>
          <w:numId w:val="1016"/>
        </w:numPr>
        <w:pStyle w:val="Compact"/>
      </w:pPr>
      <w:r>
        <w:rPr>
          <w:bCs/>
          <w:b/>
        </w:rPr>
        <w:t xml:space="preserve">Manufacturing Energy (3.475 kgCO2e/unit):</w:t>
      </w:r>
      <w:r>
        <w:t xml:space="preserve"> </w:t>
      </w:r>
      <w:r>
        <w:t xml:space="preserve">While renewable energy usage is high (75%), the remaining non-renewable electricity still contributes significantly (approximately 14.5%) due to China\'s grid mix.</w:t>
      </w:r>
    </w:p>
    <w:bookmarkEnd w:id="38"/>
    <w:bookmarkStart w:id="39" w:name="reliability-and-limitations"/>
    <w:p>
      <w:pPr>
        <w:pStyle w:val="Heading3"/>
      </w:pPr>
      <w:r>
        <w:t xml:space="preserve">Reliability and Limitations</w:t>
      </w:r>
    </w:p>
    <w:p>
      <w:pPr>
        <w:pStyle w:val="FirstParagraph"/>
      </w:pPr>
      <w:r>
        <w:t xml:space="preserve">The reliability of this PCF analysis is contingent on the accuracy of input data and emission factors. Key considerations include:</w:t>
      </w:r>
    </w:p>
    <w:p>
      <w:pPr>
        <w:numPr>
          <w:ilvl w:val="0"/>
          <w:numId w:val="1017"/>
        </w:numPr>
        <w:pStyle w:val="Compact"/>
      </w:pPr>
      <w:r>
        <w:rPr>
          <w:bCs/>
          <w:b/>
        </w:rPr>
        <w:t xml:space="preserve">Data Specificity:</w:t>
      </w:r>
      <w:r>
        <w:t xml:space="preserve"> </w:t>
      </w:r>
      <w:r>
        <w:t xml:space="preserve">The use of a detailed BOM and specific operational data (e.g., energy intensity, renewable usage) enhances accuracy. However, some transport and end-of-life emission factors are based on generic industry averages.</w:t>
      </w:r>
    </w:p>
    <w:p>
      <w:pPr>
        <w:numPr>
          <w:ilvl w:val="0"/>
          <w:numId w:val="1017"/>
        </w:numPr>
        <w:pStyle w:val="Compact"/>
      </w:pPr>
      <w:r>
        <w:rPr>
          <w:bCs/>
          <w:b/>
        </w:rPr>
        <w:t xml:space="preserve">Emission Factors:</w:t>
      </w:r>
      <w:r>
        <w:t xml:space="preserve"> </w:t>
      </w:r>
      <w:r>
        <w:t xml:space="preserve">Industry-standard emission factors (e.g., from Ecoinvent/DEFRA principles) were applied where specific data was unavailable. Variations in these factors can impact results.</w:t>
      </w:r>
    </w:p>
    <w:p>
      <w:pPr>
        <w:numPr>
          <w:ilvl w:val="0"/>
          <w:numId w:val="1017"/>
        </w:numPr>
        <w:pStyle w:val="Compact"/>
      </w:pPr>
      <w:r>
        <w:rPr>
          <w:bCs/>
          <w:b/>
        </w:rPr>
        <w:t xml:space="preserve">Assumptions:</w:t>
      </w:r>
      <w:r>
        <w:t xml:space="preserve"> </w:t>
      </w:r>
      <w:r>
        <w:t xml:space="preserve">Several assumptions were made for unspecified parameters (e.g., transport distances, last-mile EF, EU electricity mix, EoL emissions). Further primary data collection would improve precision.</w:t>
      </w:r>
    </w:p>
    <w:p>
      <w:pPr>
        <w:numPr>
          <w:ilvl w:val="0"/>
          <w:numId w:val="1017"/>
        </w:numPr>
        <w:pStyle w:val="Compact"/>
      </w:pPr>
      <w:r>
        <w:rPr>
          <w:bCs/>
          <w:b/>
        </w:rPr>
        <w:t xml:space="preserve">System Boundary:</w:t>
      </w:r>
      <w:r>
        <w:t xml:space="preserve"> </w:t>
      </w:r>
      <w:r>
        <w:t xml:space="preserve">While extended, certain Scope 3 categories might still be excluded for materiality (e.g., business travel, employee commuting, capital goods, waste from operations if not directly tied to product, investments). The current analysis focuses on the most material categories for a product.</w:t>
      </w:r>
    </w:p>
    <w:bookmarkEnd w:id="39"/>
    <w:bookmarkStart w:id="40" w:name="ghg-protocol-compliance-2026-lsr-update"/>
    <w:p>
      <w:pPr>
        <w:pStyle w:val="Heading3"/>
      </w:pPr>
      <w:r>
        <w:t xml:space="preserve">GHG Protocol Compliance &amp; 2026 LSR Update</w:t>
      </w:r>
    </w:p>
    <w:p>
      <w:pPr>
        <w:pStyle w:val="FirstParagraph"/>
      </w:pPr>
      <w:r>
        <w:t xml:space="preserve">This report adheres to the GHG Protocol\'s accounting and reporting principles, classifying emissions into Scope 1, Scope 2, and Scope 3 as detailed above.</w:t>
      </w:r>
    </w:p>
    <w:p>
      <w:pPr>
        <w:numPr>
          <w:ilvl w:val="0"/>
          <w:numId w:val="1018"/>
        </w:numPr>
        <w:pStyle w:val="Compact"/>
      </w:pPr>
      <w:r>
        <w:rPr>
          <w:bCs/>
          <w:b/>
        </w:rPr>
        <w:t xml:space="preserve">Scope 1 &amp; 2:</w:t>
      </w:r>
      <w:r>
        <w:t xml:space="preserve"> </w:t>
      </w:r>
      <w:r>
        <w:t xml:space="preserve">Clearly separated and quantified, representing direct emissions and indirect emissions from purchased electricity for manufacturing.</w:t>
      </w:r>
    </w:p>
    <w:p>
      <w:pPr>
        <w:numPr>
          <w:ilvl w:val="0"/>
          <w:numId w:val="1018"/>
        </w:numPr>
        <w:pStyle w:val="Compact"/>
      </w:pPr>
      <w:r>
        <w:rPr>
          <w:bCs/>
          <w:b/>
        </w:rPr>
        <w:t xml:space="preserve">Scope 3:</w:t>
      </w:r>
      <w:r>
        <w:t xml:space="preserve"> </w:t>
      </w:r>
      <w:r>
        <w:t xml:space="preserve">Categorized according to the GHG Protocol Corporate Value Chain (Scope 3) Standard.</w:t>
      </w:r>
    </w:p>
    <w:p>
      <w:pPr>
        <w:numPr>
          <w:ilvl w:val="0"/>
          <w:numId w:val="1018"/>
        </w:numPr>
        <w:pStyle w:val="Compact"/>
      </w:pPr>
      <w:r>
        <w:rPr>
          <w:bCs/>
          <w:b/>
        </w:rPr>
        <w:t xml:space="preserve">2026 Land Sector and Removals (LSR) Standard Update:</w:t>
      </w:r>
      <w:r>
        <w:t xml:space="preserve"> </w:t>
      </w:r>
      <w:r>
        <w:t xml:space="preserve">The GHG Protocol\'s Land Sector and Removals Standard, effective January 1, 2027, provides guidance for quantifying, reporting, and tracking land emissions, CO₂ removals, and technological removals. For rhewlpjrrk, a manufactured product without direct agricultural inputs or land-use change in its primary production, the direct applicability of the LSR Standard for land management and biogenic product emissions is limited. However, its principles for tracking CO₂ removals are acknowledged, and future analyses involving bio-based materials or carbon removal technologies would fully integrate these requirements. The accompanying guidance for the LSR Standard is expected in Q2 2026, which will provide more practical direction for implementation.</w:t>
      </w:r>
    </w:p>
    <w:p>
      <w:pPr>
        <w:numPr>
          <w:ilvl w:val="0"/>
          <w:numId w:val="1018"/>
        </w:numPr>
        <w:pStyle w:val="Compact"/>
      </w:pPr>
      <w:r>
        <w:rPr>
          <w:bCs/>
          <w:b/>
        </w:rPr>
        <w:t xml:space="preserve">Scope 3 Compliance (95% Coverage):</w:t>
      </w:r>
      <w:r>
        <w:t xml:space="preserve"> </w:t>
      </w:r>
      <w:r>
        <w:t xml:space="preserve">As per the 2026 GHG Protocol requirements, at least 95% coverage for Scope 3 reporting is targeted to ensure completeness and prevent selective disclosure. This analysis has strived for comprehensive coverage of the most material Scope 3 categories for rhewlpjrrk (Purchased Goods and Services, Transportation, Use of Sold Products, End-of-Life Treatment). Based on the detailed BOM and lifecycle mapping, these categories are expected to constitute well over 95% of the relevant Scope 3 emissions for this product. Further efforts would focus on ensuring the quality of primary data and justifying any minor exclusions.</w:t>
      </w:r>
    </w:p>
    <w:p>
      <w:r>
        <w:pict>
          <v:rect style="width:0;height:1.5pt" o:hralign="center" o:hrstd="t" o:hr="t"/>
        </w:pict>
      </w:r>
    </w:p>
    <w:bookmarkEnd w:id="40"/>
    <w:bookmarkStart w:id="41" w:name="recommendations-for-emission-reduction"/>
    <w:p>
      <w:pPr>
        <w:pStyle w:val="Heading3"/>
      </w:pPr>
      <w:r>
        <w:t xml:space="preserve">Recommendations for Emission Reduction</w:t>
      </w:r>
    </w:p>
    <w:p>
      <w:pPr>
        <w:pStyle w:val="FirstParagraph"/>
      </w:pPr>
      <w:r>
        <w:t xml:space="preserve">To reduce the Product Carbon Footprint of rhewlpjrrk, tttxmxumnl should focus on the following areas:</w:t>
      </w:r>
    </w:p>
    <w:p>
      <w:pPr>
        <w:numPr>
          <w:ilvl w:val="0"/>
          <w:numId w:val="1019"/>
        </w:numPr>
        <w:pStyle w:val="Compact"/>
      </w:pPr>
      <w:r>
        <w:rPr>
          <w:bCs/>
          <w:b/>
        </w:rPr>
        <w:t xml:space="preserve">Use Phase Optimization:</w:t>
      </w:r>
      <w:r>
        <w:t xml:space="preserve"> </w:t>
      </w:r>
      <w:r>
        <w:t xml:space="preserve">Invest in product redesigns to improve energy efficiency, reduce power consumption, or enable passive operation during the product\'s lifespan. Educate consumers on efficient product use.</w:t>
      </w:r>
    </w:p>
    <w:p>
      <w:pPr>
        <w:numPr>
          <w:ilvl w:val="0"/>
          <w:numId w:val="1019"/>
        </w:numPr>
        <w:pStyle w:val="Compact"/>
      </w:pPr>
      <w:r>
        <w:rPr>
          <w:bCs/>
          <w:b/>
        </w:rPr>
        <w:t xml:space="preserve">Material Decarbonization:</w:t>
      </w:r>
      <w:r>
        <w:t xml:space="preserve"> </w:t>
      </w:r>
      <w:r>
        <w:t xml:space="preserve">Explore lower-carbon alternatives for high-impact materials (e.g., aluminum, circuit board components). Engage suppliers to source materials with lower embedded emissions or higher recycled content.</w:t>
      </w:r>
    </w:p>
    <w:p>
      <w:pPr>
        <w:numPr>
          <w:ilvl w:val="0"/>
          <w:numId w:val="1019"/>
        </w:numPr>
        <w:pStyle w:val="Compact"/>
      </w:pPr>
      <w:r>
        <w:rPr>
          <w:bCs/>
          <w:b/>
        </w:rPr>
        <w:t xml:space="preserve">Renewable Energy Sourcing (Manufacturing):</w:t>
      </w:r>
      <w:r>
        <w:t xml:space="preserve"> </w:t>
      </w:r>
      <w:r>
        <w:t xml:space="preserve">While 75% renewable energy is commendable, exploring options to achieve 100% renewable energy for manufacturing in China, either through on-site generation or renewable energy procurement, would significantly reduce Scope 2 emissions.</w:t>
      </w:r>
    </w:p>
    <w:p>
      <w:pPr>
        <w:numPr>
          <w:ilvl w:val="0"/>
          <w:numId w:val="1019"/>
        </w:numPr>
        <w:pStyle w:val="Compact"/>
      </w:pPr>
      <w:r>
        <w:rPr>
          <w:bCs/>
          <w:b/>
        </w:rPr>
        <w:t xml:space="preserve">Circular Economy Integration:</w:t>
      </w:r>
      <w:r>
        <w:t xml:space="preserve"> </w:t>
      </w:r>
      <w:r>
        <w:t xml:space="preserve">Strengthen take-back schemes and design for durability, repairability, and high-quality recycling to maximize material value and reduce end-of-life burdens. The established take-back scheme can be further optimized.</w:t>
      </w:r>
    </w:p>
    <w:p>
      <w:pPr>
        <w:numPr>
          <w:ilvl w:val="0"/>
          <w:numId w:val="1019"/>
        </w:numPr>
        <w:pStyle w:val="Compact"/>
      </w:pPr>
      <w:r>
        <w:rPr>
          <w:bCs/>
          <w:b/>
        </w:rPr>
        <w:t xml:space="preserve">Logistics Efficiency:</w:t>
      </w:r>
      <w:r>
        <w:t xml:space="preserve"> </w:t>
      </w:r>
      <w:r>
        <w:t xml:space="preserve">Optimize transport routes, explore lower-emission transport modes (e.g., rail for European distribution where feasible), and improve load factors to minimize emissions from transportation.</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rhewlpjrrk</dc:title>
  <dc:creator/>
  <dc:description>Detailed Product Carbon Footprint (PCF) analysis report for rhewlpjrrk by tttxmxumnl, following GHG Protocol standards and 2026 updates, conducted by Senior Sustainability Consultant tseyotshdh.</dc:description>
  <dc:language>en</dc:language>
  <cp:keywords/>
  <dcterms:created xsi:type="dcterms:W3CDTF">2026-07-15T20:14:19Z</dcterms:created>
  <dcterms:modified xsi:type="dcterms:W3CDTF">2026-07-15T20:14:19Z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