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rgmrrxgeut</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rgmrrxgeut"/>
    <w:p>
      <w:pPr>
        <w:pStyle w:val="Heading2"/>
      </w:pPr>
      <w:r>
        <w:t xml:space="preserve">Product: rgmrrxgeut</w:t>
      </w:r>
    </w:p>
    <w:p>
      <w:pPr>
        <w:pStyle w:val="FirstParagraph"/>
      </w:pPr>
      <w:r>
        <w:rPr>
          <w:bCs/>
          <w:b/>
        </w:rPr>
        <w:t xml:space="preserve">Company Name:</w:t>
      </w:r>
      <w:r>
        <w:t xml:space="preserve"> </w:t>
      </w:r>
      <w:r>
        <w:t xml:space="preserve">wuqgnihjdf</w:t>
      </w:r>
    </w:p>
    <w:p>
      <w:pPr>
        <w:pStyle w:val="BodyText"/>
      </w:pPr>
      <w:r>
        <w:rPr>
          <w:bCs/>
          <w:b/>
        </w:rPr>
        <w:t xml:space="preserve">Senior Sustainability Consultant:</w:t>
      </w:r>
      <w:r>
        <w:t xml:space="preserve"> </w:t>
      </w:r>
      <w:r>
        <w:t xml:space="preserve">mklogrirhs</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efforts have been made to ensure accuracy, the actual environmental impacts may vary.</w:t>
      </w:r>
    </w:p>
    <w:bookmarkEnd w:id="20"/>
    <w:bookmarkEnd w:id="21"/>
    <w:bookmarkStart w:id="51"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June 1,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rgmrrxgeut, manufactured by wuqgnihjdf. The analysis was conducted by mklogrirhs, Senior Sustainability Consultant, adhering strictly to the Greenhouse Gas (GHG) Protocol standards. The total carbon footprint for one functional unit of rgmrrxgeut is estimated at **29.56 kg CO2e**, primarily driven by the use phase electricity consumption. Key emission hotspots identified include the product\'s energy consumption during its operational lifespan, followed by the manufacturing process and raw material acquisition. Recommendations for emission reduction focus on improving energy efficiency in the use phase, optimizing manufacturing energy, and enhancing end-of-life circularity.</w:t>
      </w:r>
    </w:p>
    <w:p>
      <w:r>
        <w:pict>
          <v:rect style="width:0;height:1.5pt" o:hralign="center" o:hrstd="t" o:hr="t"/>
        </w:pict>
      </w:r>
    </w:p>
    <w:bookmarkEnd w:id="22"/>
    <w:bookmarkStart w:id="28" w:name="defining-scope"/>
    <w:p>
      <w:pPr>
        <w:pStyle w:val="Heading2"/>
      </w:pPr>
      <w:r>
        <w:t xml:space="preserve">1. Defining Scope</w:t>
      </w:r>
    </w:p>
    <w:bookmarkStart w:id="23" w:name="functional-unit"/>
    <w:p>
      <w:pPr>
        <w:pStyle w:val="Heading3"/>
      </w:pPr>
      <w:r>
        <w:t xml:space="preserve">1.1 Functional Unit</w:t>
      </w:r>
    </w:p>
    <w:p>
      <w:pPr>
        <w:pStyle w:val="FirstParagraph"/>
      </w:pPr>
      <w:r>
        <w:t xml:space="preserve">The functional unit for this Product Carbon Footprint analysis is defined as:</w:t>
      </w:r>
      <w:r>
        <w:t xml:space="preserve"> </w:t>
      </w:r>
      <w:r>
        <w:rPr>
          <w:bCs/>
          <w:b/>
        </w:rPr>
        <w:t xml:space="preserve">1.0 unit of rgmrrxgeut</w:t>
      </w:r>
      <w:r>
        <w:t xml:space="preserve">. This unit serves as the reference basis for quantifying and comparing environmental impacts.</w:t>
      </w:r>
    </w:p>
    <w:bookmarkEnd w:id="23"/>
    <w:bookmarkStart w:id="24" w:name="system-boundary"/>
    <w:p>
      <w:pPr>
        <w:pStyle w:val="Heading3"/>
      </w:pPr>
      <w:r>
        <w:t xml:space="preserve">1.2 System Boundary</w:t>
      </w:r>
    </w:p>
    <w:p>
      <w:pPr>
        <w:pStyle w:val="FirstParagraph"/>
      </w:pPr>
      <w:r>
        <w:t xml:space="preserve">The system boundary for this PCF study is a</w:t>
      </w:r>
      <w:r>
        <w:t xml:space="preserve"> </w:t>
      </w:r>
      <w:r>
        <w:rPr>
          <w:bCs/>
          <w:b/>
        </w:rPr>
        <w:t xml:space="preserve">cradle-to-grave</w:t>
      </w:r>
      <w:r>
        <w:t xml:space="preserve"> </w:t>
      </w:r>
      <w:r>
        <w:t xml:space="preserve">assessment, encompassing all significant lifecycle stages from raw material extraction to the end-of-life treatment of the product. While the initial focus for production is "factory_gate", the comprehensive analysis includes:</w:t>
      </w:r>
    </w:p>
    <w:p>
      <w:pPr>
        <w:numPr>
          <w:ilvl w:val="0"/>
          <w:numId w:val="1001"/>
        </w:numPr>
        <w:pStyle w:val="Compact"/>
      </w:pPr>
      <w:r>
        <w:t xml:space="preserve">Raw Material Acquisition and Pre-processing</w:t>
      </w:r>
    </w:p>
    <w:p>
      <w:pPr>
        <w:numPr>
          <w:ilvl w:val="0"/>
          <w:numId w:val="1001"/>
        </w:numPr>
        <w:pStyle w:val="Compact"/>
      </w:pPr>
      <w:r>
        <w:t xml:space="preserve">Manufacturing (at the factory gate in China)</w:t>
      </w:r>
    </w:p>
    <w:p>
      <w:pPr>
        <w:numPr>
          <w:ilvl w:val="0"/>
          <w:numId w:val="1001"/>
        </w:numPr>
        <w:pStyle w:val="Compact"/>
      </w:pPr>
      <w:r>
        <w:t xml:space="preserve">Transportation (upstream to factory, and downstream to customer)</w:t>
      </w:r>
    </w:p>
    <w:p>
      <w:pPr>
        <w:numPr>
          <w:ilvl w:val="0"/>
          <w:numId w:val="1001"/>
        </w:numPr>
        <w:pStyle w:val="Compact"/>
      </w:pPr>
      <w:r>
        <w:t xml:space="preserve">Use Phase (customer usage)</w:t>
      </w:r>
    </w:p>
    <w:p>
      <w:pPr>
        <w:numPr>
          <w:ilvl w:val="0"/>
          <w:numId w:val="1001"/>
        </w:numPr>
        <w:pStyle w:val="Compact"/>
      </w:pPr>
      <w:r>
        <w:t xml:space="preserve">End-of-Life (EoL) Treatment</w:t>
      </w:r>
    </w:p>
    <w:bookmarkEnd w:id="24"/>
    <w:bookmarkStart w:id="25" w:name="geographic-scope"/>
    <w:p>
      <w:pPr>
        <w:pStyle w:val="Heading3"/>
      </w:pPr>
      <w:r>
        <w:t xml:space="preserve">1.3 Geographic Scope</w:t>
      </w:r>
    </w:p>
    <w:p>
      <w:pPr>
        <w:pStyle w:val="FirstParagraph"/>
      </w:pPr>
      <w:r>
        <w:t xml:space="preserve">The geographic scope of this assessment focuses on the</w:t>
      </w:r>
      <w:r>
        <w:t xml:space="preserve"> </w:t>
      </w:r>
      <w:r>
        <w:rPr>
          <w:bCs/>
          <w:b/>
        </w:rPr>
        <w:t xml:space="preserve">final production country as China</w:t>
      </w:r>
      <w:r>
        <w:t xml:space="preserve">, with a particular emphasis on the</w:t>
      </w:r>
      <w:r>
        <w:t xml:space="preserve"> </w:t>
      </w:r>
      <w:r>
        <w:rPr>
          <w:bCs/>
          <w:b/>
        </w:rPr>
        <w:t xml:space="preserve">supply chain focused in Europe</w:t>
      </w:r>
      <w:r>
        <w:t xml:space="preserve"> </w:t>
      </w:r>
      <w:r>
        <w:t xml:space="preserve">for material sourcing and distribution for the product\'s use phase. This dual focus acknowledges the globalized nature of modern supply chains.</w:t>
      </w:r>
    </w:p>
    <w:bookmarkEnd w:id="25"/>
    <w:bookmarkStart w:id="26" w:name="accounting-standard"/>
    <w:p>
      <w:pPr>
        <w:pStyle w:val="Heading3"/>
      </w:pPr>
      <w:r>
        <w:t xml:space="preserve">1.4 Accounting Standard</w:t>
      </w:r>
    </w:p>
    <w:p>
      <w:pPr>
        <w:pStyle w:val="FirstParagraph"/>
      </w:pPr>
      <w:r>
        <w:t xml:space="preserve">This Product Carbon Footprint analysis strictly adheres to the</w:t>
      </w:r>
      <w:r>
        <w:t xml:space="preserve"> </w:t>
      </w:r>
      <w:r>
        <w:rPr>
          <w:bCs/>
          <w:b/>
        </w:rPr>
        <w:t xml:space="preserve">GHG Protocol Product Life Cycle Accounting and Reporting Standard</w:t>
      </w:r>
      <w:r>
        <w:t xml:space="preserve">. This standard provides a comprehensive framework for measuring and reporting the greenhouse gas emissions associated with individual products across their entire lifecycle. Emissions are categorized into Scope 1 (direct emissions), Scope 2 (indirect emissions from purchased energy), and Scope 3 (all other indirect emissions in the value chain).</w:t>
      </w:r>
    </w:p>
    <w:bookmarkEnd w:id="26"/>
    <w:bookmarkStart w:id="27" w:name="allocation"/>
    <w:p>
      <w:pPr>
        <w:pStyle w:val="Heading3"/>
      </w:pPr>
      <w:r>
        <w:t xml:space="preserve">1.5 Allocation</w:t>
      </w:r>
    </w:p>
    <w:p>
      <w:pPr>
        <w:pStyle w:val="FirstParagraph"/>
      </w:pPr>
      <w:r>
        <w:t xml:space="preserve">Emissions are allocated directly to the functional unit (1.0 unit of rgmrrxgeut) based on mass, energy consumption, and distance, ensuring that all relevant impacts are attributed appropriately throughout the product\'s lifecycle.</w:t>
      </w:r>
    </w:p>
    <w:p>
      <w:r>
        <w:pict>
          <v:rect style="width:0;height:1.5pt" o:hralign="center" o:hrstd="t" o:hr="t"/>
        </w:pict>
      </w:r>
    </w:p>
    <w:bookmarkEnd w:id="27"/>
    <w:bookmarkEnd w:id="28"/>
    <w:bookmarkStart w:id="35" w:name="Xc4db5a41d4e814f9c58a20c7607740cfca33f21"/>
    <w:p>
      <w:pPr>
        <w:pStyle w:val="Heading2"/>
      </w:pPr>
      <w:r>
        <w:t xml:space="preserve">2. Mapping Lifecycle (LCI Inventory Stages) &amp; 3. Collecting Data</w:t>
      </w:r>
    </w:p>
    <w:p>
      <w:pPr>
        <w:pStyle w:val="FirstParagraph"/>
      </w:pPr>
      <w:r>
        <w:t xml:space="preserve">The lifecycle of rgmrrxgeut is mapped through the following stages, with detailed data collected for each:</w:t>
      </w:r>
    </w:p>
    <w:bookmarkStart w:id="30" w:name="X54d8d21cbaa020d9f4168c67c8af00d64e0aa28"/>
    <w:p>
      <w:pPr>
        <w:pStyle w:val="Heading3"/>
      </w:pPr>
      <w:r>
        <w:t xml:space="preserve">2.1 Raw Material Acquisition &amp; Pre-processing (Scope 3, Category 1 - Purchased goods and services)</w:t>
      </w:r>
    </w:p>
    <w:p>
      <w:pPr>
        <w:pStyle w:val="FirstParagraph"/>
      </w:pPr>
      <w:r>
        <w:t xml:space="preserve">This stage covers the extraction, processing, and manufacturing of all raw materials and components listed in the Detailed Bill of Materials (BOM). Primary data from the provided BOM (`igdgyplj`) is used for high-accuracy material impact calculation.</w:t>
      </w:r>
    </w:p>
    <w:bookmarkStart w:id="29" w:name="X99841835061f1bb00c3c46f640fdd8addbc6772"/>
    <w:p>
      <w:pPr>
        <w:pStyle w:val="Heading4"/>
      </w:pPr>
      <w:r>
        <w:t xml:space="preserve">Detailed Bill of Materials (BOM) for rgmrrxgeut: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2.5</w:t>
            </w:r>
          </w:p>
        </w:tc>
        <w:tc>
          <w:tcPr/>
          <w:p>
            <w:pPr>
              <w:pStyle w:val="Compact"/>
              <w:jc w:val="left"/>
            </w:pPr>
            <w:r>
              <w:t xml:space="preserve">0.25</w:t>
            </w:r>
          </w:p>
        </w:tc>
      </w:tr>
      <w:tr>
        <w:tc>
          <w:tcPr/>
          <w:p>
            <w:pPr>
              <w:pStyle w:val="Compact"/>
              <w:jc w:val="left"/>
            </w:pPr>
            <w:r>
              <w:t xml:space="preserve">M2</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M3</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r>
        <w:tc>
          <w:tcPr/>
          <w:p>
            <w:pPr>
              <w:pStyle w:val="Compact"/>
              <w:jc w:val="left"/>
            </w:pPr>
            <w:r>
              <w:t xml:space="preserve">M4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12.0</w:t>
            </w:r>
          </w:p>
        </w:tc>
        <w:tc>
          <w:tcPr/>
          <w:p>
            <w:pPr>
              <w:pStyle w:val="Compact"/>
              <w:jc w:val="left"/>
            </w:pPr>
            <w:r>
              <w:t xml:space="preserve">0.36</w:t>
            </w:r>
          </w:p>
        </w:tc>
      </w:tr>
      <w:tr>
        <w:tc>
          <w:tcPr/>
          <w:p>
            <w:pPr>
              <w:pStyle w:val="Compact"/>
              <w:jc w:val="left"/>
            </w:pPr>
            <w:r>
              <w:t xml:space="preserve">M5</w:t>
            </w:r>
          </w:p>
        </w:tc>
        <w:tc>
          <w:tcPr/>
          <w:p>
            <w:pPr>
              <w:pStyle w:val="Compact"/>
              <w:jc w:val="left"/>
            </w:pPr>
            <w:r>
              <w:t xml:space="preserve">Aluminum Heat Sink</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0.015</w:t>
            </w:r>
          </w:p>
        </w:tc>
        <w:tc>
          <w:tcPr/>
          <w:p>
            <w:pPr>
              <w:pStyle w:val="Compact"/>
              <w:jc w:val="left"/>
            </w:pPr>
            <w:r>
              <w:t xml:space="preserve">kg</w:t>
            </w:r>
          </w:p>
        </w:tc>
        <w:tc>
          <w:tcPr/>
          <w:p>
            <w:pPr>
              <w:pStyle w:val="Compact"/>
              <w:jc w:val="left"/>
            </w:pPr>
            <w:r>
              <w:t xml:space="preserve">8.0</w:t>
            </w:r>
          </w:p>
        </w:tc>
        <w:tc>
          <w:tcPr/>
          <w:p>
            <w:pPr>
              <w:pStyle w:val="Compact"/>
              <w:jc w:val="left"/>
            </w:pPr>
            <w:r>
              <w:t xml:space="preserve">0.12</w:t>
            </w:r>
          </w:p>
        </w:tc>
      </w:tr>
      <w:tr>
        <w:tc>
          <w:tcPr/>
          <w:p>
            <w:pPr>
              <w:pStyle w:val="Compact"/>
              <w:jc w:val="left"/>
            </w:pPr>
            <w:r>
              <w:t xml:space="preserve">M6</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Corrugation</w:t>
            </w:r>
          </w:p>
        </w:tc>
        <w:tc>
          <w:tcPr/>
          <w:p>
            <w:pPr>
              <w:pStyle w:val="Compact"/>
              <w:jc w:val="left"/>
            </w:pPr>
            <w:r>
              <w:t xml:space="preserve">0.03</w:t>
            </w:r>
          </w:p>
        </w:tc>
        <w:tc>
          <w:tcPr/>
          <w:p>
            <w:pPr>
              <w:pStyle w:val="Compact"/>
              <w:jc w:val="left"/>
            </w:pPr>
            <w:r>
              <w:t xml:space="preserve">kg</w:t>
            </w:r>
          </w:p>
        </w:tc>
        <w:tc>
          <w:tcPr/>
          <w:p>
            <w:pPr>
              <w:pStyle w:val="Compact"/>
              <w:jc w:val="left"/>
            </w:pPr>
            <w:r>
              <w:t xml:space="preserve">1.0</w:t>
            </w:r>
          </w:p>
        </w:tc>
        <w:tc>
          <w:tcPr/>
          <w:p>
            <w:pPr>
              <w:pStyle w:val="Compact"/>
              <w:jc w:val="left"/>
            </w:pPr>
            <w:r>
              <w:t xml:space="preserve">0.03</w:t>
            </w:r>
          </w:p>
        </w:tc>
      </w:tr>
      <w:tr>
        <w:tc>
          <w:tcPr/>
          <w:p>
            <w:pPr>
              <w:pStyle w:val="Compact"/>
              <w:jc w:val="left"/>
            </w:pPr>
            <w:r>
              <w:t xml:space="preserve">M7</w:t>
            </w:r>
          </w:p>
        </w:tc>
        <w:tc>
          <w:tcPr/>
          <w:p>
            <w:pPr>
              <w:pStyle w:val="Compact"/>
              <w:jc w:val="left"/>
            </w:pPr>
            <w:r>
              <w:t xml:space="preserve">User Manual (Paper)</w:t>
            </w:r>
          </w:p>
        </w:tc>
        <w:tc>
          <w:tcPr/>
          <w:p>
            <w:pPr>
              <w:pStyle w:val="Compact"/>
              <w:jc w:val="left"/>
            </w:pPr>
            <w:r>
              <w:t xml:space="preserve">Paper</w:t>
            </w:r>
          </w:p>
        </w:tc>
        <w:tc>
          <w:tcPr/>
          <w:p>
            <w:pPr>
              <w:pStyle w:val="Compact"/>
              <w:jc w:val="left"/>
            </w:pPr>
            <w:r>
              <w:t xml:space="preserve">Printing</w:t>
            </w:r>
          </w:p>
        </w:tc>
        <w:tc>
          <w:tcPr/>
          <w:p>
            <w:pPr>
              <w:pStyle w:val="Compact"/>
              <w:jc w:val="left"/>
            </w:pPr>
            <w:r>
              <w:t xml:space="preserve">0.005</w:t>
            </w:r>
          </w:p>
        </w:tc>
        <w:tc>
          <w:tcPr/>
          <w:p>
            <w:pPr>
              <w:pStyle w:val="Compact"/>
              <w:jc w:val="left"/>
            </w:pPr>
            <w:r>
              <w:t xml:space="preserve">kg</w:t>
            </w:r>
          </w:p>
        </w:tc>
        <w:tc>
          <w:tcPr/>
          <w:p>
            <w:pPr>
              <w:pStyle w:val="Compact"/>
              <w:jc w:val="left"/>
            </w:pPr>
            <w:r>
              <w:t xml:space="preserve">1.5</w:t>
            </w:r>
          </w:p>
        </w:tc>
        <w:tc>
          <w:tcPr/>
          <w:p>
            <w:pPr>
              <w:pStyle w:val="Compact"/>
              <w:jc w:val="left"/>
            </w:pPr>
            <w:r>
              <w:t xml:space="preserve">0.0075</w:t>
            </w:r>
          </w:p>
        </w:tc>
      </w:tr>
      <w:tr>
        <w:tc>
          <w:tcPr>
            <w:gridSpan w:val="7"/>
          </w:tcPr>
          <w:p>
            <w:pPr>
              <w:pStyle w:val="Compact"/>
              <w:jc w:val="right"/>
            </w:pPr>
            <w:r>
              <w:t xml:space="preserve">Total Material Carbon Footprint:</w:t>
            </w:r>
          </w:p>
        </w:tc>
        <w:tc>
          <w:tcPr/>
          <w:p>
            <w:pPr>
              <w:pStyle w:val="Compact"/>
              <w:jc w:val="left"/>
            </w:pPr>
            <w:r>
              <w:t xml:space="preserve">1.5975</w:t>
            </w:r>
          </w:p>
        </w:tc>
      </w:tr>
    </w:tbl>
    <w:bookmarkEnd w:id="29"/>
    <w:bookmarkEnd w:id="30"/>
    <w:bookmarkStart w:id="31" w:name="X8e5ecf41d220edddc5fbc6d13004487b41b73d9"/>
    <w:p>
      <w:pPr>
        <w:pStyle w:val="Heading3"/>
      </w:pPr>
      <w:r>
        <w:t xml:space="preserve">2.2 Manufacturing (Scope 2 - Purchased electricity, Scope 1 - Direct emissions)</w:t>
      </w:r>
    </w:p>
    <w:p>
      <w:pPr>
        <w:pStyle w:val="FirstParagraph"/>
      </w:pPr>
      <w:r>
        <w:t xml:space="preserve">This covers the energy consumed during the assembly and finishing of rgmrrxgeut at the factory in China. No significant Scope 1 direct emissions from owned/controlled sources are attributed to the product manufacturing process itself beyond general facility operations, which are accounted for through purchased energy.</w:t>
      </w:r>
    </w:p>
    <w:p>
      <w:pPr>
        <w:numPr>
          <w:ilvl w:val="0"/>
          <w:numId w:val="1002"/>
        </w:numPr>
        <w:pStyle w:val="Compact"/>
      </w:pPr>
      <w:r>
        <w:rPr>
          <w:bCs/>
          <w:b/>
        </w:rPr>
        <w:t xml:space="preserve">Energy Intensity (kWh/unit):</w:t>
      </w:r>
      <w:r>
        <w:t xml:space="preserve"> </w:t>
      </w:r>
      <w:r>
        <w:t xml:space="preserve">dzkokohjkj (e.g., 15 kWh/unit)</w:t>
      </w:r>
    </w:p>
    <w:p>
      <w:pPr>
        <w:numPr>
          <w:ilvl w:val="0"/>
          <w:numId w:val="1002"/>
        </w:numPr>
        <w:pStyle w:val="Compact"/>
      </w:pPr>
      <w:r>
        <w:rPr>
          <w:bCs/>
          <w:b/>
        </w:rPr>
        <w:t xml:space="preserve">Renewable Energy Usage:</w:t>
      </w:r>
      <w:r>
        <w:t xml:space="preserve"> </w:t>
      </w:r>
      <w:r>
        <w:t xml:space="preserve">jhqmiwwxms (e.g., 70% of energy procured)</w:t>
      </w:r>
    </w:p>
    <w:p>
      <w:pPr>
        <w:numPr>
          <w:ilvl w:val="0"/>
          <w:numId w:val="1002"/>
        </w:numPr>
        <w:pStyle w:val="Compact"/>
      </w:pPr>
      <w:r>
        <w:rPr>
          <w:bCs/>
          <w:b/>
        </w:rPr>
        <w:t xml:space="preserve">Standard Grid Emission Factor (China):</w:t>
      </w:r>
      <w:r>
        <w:t xml:space="preserve"> </w:t>
      </w:r>
      <w:r>
        <w:t xml:space="preserve">Approximately 0.6 kg CO2e/kWh for 2026.</w:t>
      </w:r>
    </w:p>
    <w:p>
      <w:pPr>
        <w:numPr>
          <w:ilvl w:val="0"/>
          <w:numId w:val="1002"/>
        </w:numPr>
        <w:pStyle w:val="Compact"/>
      </w:pPr>
      <w:r>
        <w:rPr>
          <w:bCs/>
          <w:b/>
        </w:rPr>
        <w:t xml:space="preserve">Renewable Energy Emission Factor:</w:t>
      </w:r>
      <w:r>
        <w:t xml:space="preserve"> </w:t>
      </w:r>
      <w:r>
        <w:t xml:space="preserve">Assumed 0.01 kg CO2e/kWh for residual emissions from certified renewable sources.</w:t>
      </w:r>
    </w:p>
    <w:bookmarkEnd w:id="31"/>
    <w:bookmarkStart w:id="32" w:name="X47b31a5a0c12ac41d333d85fbd2dd69c9df87fd"/>
    <w:p>
      <w:pPr>
        <w:pStyle w:val="Heading3"/>
      </w:pPr>
      <w:r>
        <w:t xml:space="preserve">2.3 Transportation (Scope 3, Category 4 - Upstream and Downstream transportation and distribution)</w:t>
      </w:r>
    </w:p>
    <w:p>
      <w:pPr>
        <w:pStyle w:val="FirstParagraph"/>
      </w:pPr>
      <w:r>
        <w:t xml:space="preserve">This includes all transportation activities for raw materials to the factory (upstream) and finished products from the factory to the customer (downstream).</w:t>
      </w:r>
    </w:p>
    <w:p>
      <w:pPr>
        <w:numPr>
          <w:ilvl w:val="0"/>
          <w:numId w:val="1003"/>
        </w:numPr>
        <w:pStyle w:val="Compact"/>
      </w:pPr>
      <w:r>
        <w:rPr>
          <w:bCs/>
          <w:b/>
        </w:rPr>
        <w:t xml:space="preserve">Transport Mode:</w:t>
      </w:r>
      <w:r>
        <w:t xml:space="preserve"> </w:t>
      </w:r>
      <w:r>
        <w:t xml:space="preserve">Select Mode (e.g., Road freight, average truck).</w:t>
      </w:r>
    </w:p>
    <w:p>
      <w:pPr>
        <w:numPr>
          <w:ilvl w:val="0"/>
          <w:numId w:val="1003"/>
        </w:numPr>
        <w:pStyle w:val="Compact"/>
      </w:pPr>
      <w:r>
        <w:rPr>
          <w:bCs/>
          <w:b/>
        </w:rPr>
        <w:t xml:space="preserve">Transport Distance:</w:t>
      </w:r>
      <w:r>
        <w:t xml:space="preserve"> </w:t>
      </w:r>
      <w:r>
        <w:t xml:space="preserve">sehxtrvpiq (e.g., 2000 km for upstream materials).</w:t>
      </w:r>
    </w:p>
    <w:p>
      <w:pPr>
        <w:numPr>
          <w:ilvl w:val="0"/>
          <w:numId w:val="1003"/>
        </w:numPr>
        <w:pStyle w:val="Compact"/>
      </w:pPr>
      <w:r>
        <w:rPr>
          <w:bCs/>
          <w:b/>
        </w:rPr>
        <w:t xml:space="preserve">Last-Mile Delivery Channel:</w:t>
      </w:r>
      <w:r>
        <w:t xml:space="preserve"> </w:t>
      </w:r>
      <w:r>
        <w:t xml:space="preserve">Delivery Type (e.g., Van delivery).</w:t>
      </w:r>
    </w:p>
    <w:p>
      <w:pPr>
        <w:numPr>
          <w:ilvl w:val="0"/>
          <w:numId w:val="1003"/>
        </w:numPr>
        <w:pStyle w:val="Compact"/>
      </w:pPr>
      <w:r>
        <w:rPr>
          <w:bCs/>
          <w:b/>
        </w:rPr>
        <w:t xml:space="preserve">Road Freight Emission Factor:</w:t>
      </w:r>
      <w:r>
        <w:t xml:space="preserve"> </w:t>
      </w:r>
      <w:r>
        <w:t xml:space="preserve">Approximately 0.08 kg CO2e/tkm (tonne-kilometer).</w:t>
      </w:r>
    </w:p>
    <w:p>
      <w:pPr>
        <w:numPr>
          <w:ilvl w:val="0"/>
          <w:numId w:val="1003"/>
        </w:numPr>
        <w:pStyle w:val="Compact"/>
      </w:pPr>
      <w:r>
        <w:rPr>
          <w:bCs/>
          <w:b/>
        </w:rPr>
        <w:t xml:space="preserve">Last-Mile Delivery Emission Factor:</w:t>
      </w:r>
      <w:r>
        <w:t xml:space="preserve"> </w:t>
      </w:r>
      <w:r>
        <w:t xml:space="preserve">Estimated 0.05 kg CO2e/unit (assuming electric van for sustainability efforts).</w:t>
      </w:r>
    </w:p>
    <w:bookmarkEnd w:id="32"/>
    <w:bookmarkStart w:id="33" w:name="Xe72837a908ad344b018b3447ff671a3dec19470"/>
    <w:p>
      <w:pPr>
        <w:pStyle w:val="Heading3"/>
      </w:pPr>
      <w:r>
        <w:t xml:space="preserve">2.4 Use Phase (Scope 3, Category 11 - Use of sold products)</w:t>
      </w:r>
    </w:p>
    <w:p>
      <w:pPr>
        <w:pStyle w:val="FirstParagraph"/>
      </w:pPr>
      <w:r>
        <w:t xml:space="preserve">This stage accounts for the energy consumed by the product during its expected operational lifespan by the end-user.</w:t>
      </w:r>
    </w:p>
    <w:p>
      <w:pPr>
        <w:numPr>
          <w:ilvl w:val="0"/>
          <w:numId w:val="1004"/>
        </w:numPr>
        <w:pStyle w:val="Compact"/>
      </w:pPr>
      <w:r>
        <w:rPr>
          <w:bCs/>
          <w:b/>
        </w:rPr>
        <w:t xml:space="preserve">Product Lifespan:</w:t>
      </w:r>
      <w:r>
        <w:t xml:space="preserve"> </w:t>
      </w:r>
      <w:r>
        <w:t xml:space="preserve">qwetmirxis (e.g., 5 years)</w:t>
      </w:r>
    </w:p>
    <w:p>
      <w:pPr>
        <w:numPr>
          <w:ilvl w:val="0"/>
          <w:numId w:val="1004"/>
        </w:numPr>
        <w:pStyle w:val="Compact"/>
      </w:pPr>
      <w:r>
        <w:rPr>
          <w:bCs/>
          <w:b/>
        </w:rPr>
        <w:t xml:space="preserve">Energy Consumption in Use:</w:t>
      </w:r>
      <w:r>
        <w:t xml:space="preserve"> </w:t>
      </w:r>
      <w:r>
        <w:t xml:space="preserve">jzljtovuth (e.g., 20 kWh/year)</w:t>
      </w:r>
    </w:p>
    <w:p>
      <w:pPr>
        <w:numPr>
          <w:ilvl w:val="0"/>
          <w:numId w:val="1004"/>
        </w:numPr>
        <w:pStyle w:val="Compact"/>
      </w:pPr>
      <w:r>
        <w:rPr>
          <w:bCs/>
          <w:b/>
        </w:rPr>
        <w:t xml:space="preserve">Average European Grid Emission Factor:</w:t>
      </w:r>
      <w:r>
        <w:t xml:space="preserve"> </w:t>
      </w:r>
      <w:r>
        <w:t xml:space="preserve">Approximately 0.25 kg CO2e/kWh (for 2026, considering a Europe-focused supply chain for downstream usage).</w:t>
      </w:r>
    </w:p>
    <w:bookmarkEnd w:id="33"/>
    <w:bookmarkStart w:id="34" w:name="Xe0da3ae5c42600f436bdf9037896cf99fcaf8b4"/>
    <w:p>
      <w:pPr>
        <w:pStyle w:val="Heading3"/>
      </w:pPr>
      <w:r>
        <w:t xml:space="preserve">2.5 End-of-Life (EoL) Treatment (Scope 3, Category 12 - End-of-life treatment of sold products)</w:t>
      </w:r>
    </w:p>
    <w:p>
      <w:pPr>
        <w:pStyle w:val="FirstParagraph"/>
      </w:pPr>
      <w:r>
        <w:t xml:space="preserve">This stage addresses the emissions associated with the disposal or recycling of the product at the end of its useful life.</w:t>
      </w:r>
    </w:p>
    <w:p>
      <w:pPr>
        <w:numPr>
          <w:ilvl w:val="0"/>
          <w:numId w:val="1005"/>
        </w:numPr>
        <w:pStyle w:val="Compact"/>
      </w:pPr>
      <w:r>
        <w:rPr>
          <w:bCs/>
          <w:b/>
        </w:rPr>
        <w:t xml:space="preserve">Recyclability Percentage:</w:t>
      </w:r>
      <w:r>
        <w:t xml:space="preserve"> </w:t>
      </w:r>
      <w:r>
        <w:t xml:space="preserve">qsoymvdzzf (e.g., 80%)</w:t>
      </w:r>
    </w:p>
    <w:p>
      <w:pPr>
        <w:numPr>
          <w:ilvl w:val="0"/>
          <w:numId w:val="1005"/>
        </w:numPr>
        <w:pStyle w:val="Compact"/>
      </w:pPr>
      <w:r>
        <w:rPr>
          <w:bCs/>
          <w:b/>
        </w:rPr>
        <w:t xml:space="preserve">Circular/Take-back Programs:</w:t>
      </w:r>
      <w:r>
        <w:t xml:space="preserve"> </w:t>
      </w:r>
      <w:r>
        <w:t xml:space="preserve">uywidttgzk (e.g., Yes, active)</w:t>
      </w:r>
    </w:p>
    <w:p>
      <w:pPr>
        <w:numPr>
          <w:ilvl w:val="0"/>
          <w:numId w:val="1005"/>
        </w:numPr>
        <w:pStyle w:val="Compact"/>
      </w:pPr>
      <w:r>
        <w:rPr>
          <w:bCs/>
          <w:b/>
        </w:rPr>
        <w:t xml:space="preserve">Recycling Emission Factor (Mixed Electronics):</w:t>
      </w:r>
      <w:r>
        <w:t xml:space="preserve"> </w:t>
      </w:r>
      <w:r>
        <w:t xml:space="preserve">Estimated 0.1 kg CO2e/kg (for processing).</w:t>
      </w:r>
    </w:p>
    <w:p>
      <w:pPr>
        <w:numPr>
          <w:ilvl w:val="0"/>
          <w:numId w:val="1005"/>
        </w:numPr>
        <w:pStyle w:val="Compact"/>
      </w:pPr>
      <w:r>
        <w:rPr>
          <w:bCs/>
          <w:b/>
        </w:rPr>
        <w:t xml:space="preserve">Landfill/Incineration Emission Factor (Mixed Electronics):</w:t>
      </w:r>
      <w:r>
        <w:t xml:space="preserve"> </w:t>
      </w:r>
      <w:r>
        <w:t xml:space="preserve">Estimated 1.0 kg CO2e/kg.</w:t>
      </w:r>
    </w:p>
    <w:p>
      <w:r>
        <w:pict>
          <v:rect style="width:0;height:1.5pt" o:hralign="center" o:hrstd="t" o:hr="t"/>
        </w:pict>
      </w:r>
    </w:p>
    <w:bookmarkEnd w:id="34"/>
    <w:bookmarkEnd w:id="35"/>
    <w:bookmarkStart w:id="46" w:name="X2c62247db19834934c44c209ad423fe06ba5c64"/>
    <w:p>
      <w:pPr>
        <w:pStyle w:val="Heading2"/>
      </w:pPr>
      <w:r>
        <w:t xml:space="preserve">4. Calculation of Emissions (Activity * Emission Factor = CO2e)</w:t>
      </w:r>
    </w:p>
    <w:p>
      <w:pPr>
        <w:pStyle w:val="FirstParagraph"/>
      </w:pPr>
      <w:r>
        <w:t xml:space="preserve">Emissions are calculated for each stage using the activity data and appropriate emission factors, aligned with industry standards (e.g., Ecoinvent, DEFRA, EPA WARM). All GHG emissions are reported in carbon dioxide equivalents (CO2e).</w:t>
      </w:r>
    </w:p>
    <w:bookmarkStart w:id="41" w:name="Xdb0e5553c6fd6ab8f79555d506c5328f5f6dd87"/>
    <w:p>
      <w:pPr>
        <w:pStyle w:val="Heading3"/>
      </w:pPr>
      <w:r>
        <w:t xml:space="preserve">4.1 Emissions by Lifecycle Stage and GHG Scope</w:t>
      </w:r>
    </w:p>
    <w:p>
      <w:pPr>
        <w:pStyle w:val="FirstParagraph"/>
      </w:pPr>
      <w:r>
        <w:t xml:space="preserve">The total mass of the rgmrrxgeut product (excluding packaging) is 0.215 kg (from BOM: ABS Plastic 0.1kg + PCB 0.05kg + Copper 0.02kg + Battery 0.03kg + Aluminum 0.015kg).</w:t>
      </w:r>
    </w:p>
    <w:p>
      <w:pPr>
        <w:pStyle w:val="BodyText"/>
      </w:pPr>
      <w:r>
        <w:rPr>
          <w:bCs/>
          <w:b/>
        </w:rPr>
        <w:t xml:space="preserve">Total Product Weight (including packaging):</w:t>
      </w:r>
      <w:r>
        <w:t xml:space="preserve"> </w:t>
      </w:r>
      <w:r>
        <w:t xml:space="preserve">0.25 kg</w:t>
      </w:r>
    </w:p>
    <w:bookmarkStart w:id="36" w:name="X44a3a314ad955e84153094da7f31c2e29c4ed35"/>
    <w:p>
      <w:pPr>
        <w:pStyle w:val="Heading4"/>
      </w:pPr>
      <w:r>
        <w:t xml:space="preserve">A. Raw Material Acquisition &amp; Pre-processing (Scope 3, Category 1)</w:t>
      </w:r>
    </w:p>
    <w:p>
      <w:pPr>
        <w:numPr>
          <w:ilvl w:val="0"/>
          <w:numId w:val="1006"/>
        </w:numPr>
        <w:pStyle w:val="Compact"/>
      </w:pPr>
      <w:r>
        <w:rPr>
          <w:bCs/>
          <w:b/>
        </w:rPr>
        <w:t xml:space="preserve">Calculation:</w:t>
      </w:r>
      <w:r>
        <w:t xml:space="preserve"> </w:t>
      </w:r>
      <w:r>
        <w:t xml:space="preserve">Sum of Total Carbon from BOM.</w:t>
      </w:r>
    </w:p>
    <w:p>
      <w:pPr>
        <w:numPr>
          <w:ilvl w:val="0"/>
          <w:numId w:val="1006"/>
        </w:numPr>
        <w:pStyle w:val="Compact"/>
      </w:pPr>
      <w:r>
        <w:rPr>
          <w:bCs/>
          <w:b/>
        </w:rPr>
        <w:t xml:space="preserve">Emissions:</w:t>
      </w:r>
      <w:r>
        <w:t xml:space="preserve"> </w:t>
      </w:r>
      <w:r>
        <w:t xml:space="preserve">1.5975 kg CO2e</w:t>
      </w:r>
    </w:p>
    <w:bookmarkEnd w:id="36"/>
    <w:bookmarkStart w:id="37" w:name="b.-manufacturing-scope-2"/>
    <w:p>
      <w:pPr>
        <w:pStyle w:val="Heading4"/>
      </w:pPr>
      <w:r>
        <w:t xml:space="preserve">B. Manufacturing (Scope 2)</w:t>
      </w:r>
    </w:p>
    <w:p>
      <w:pPr>
        <w:numPr>
          <w:ilvl w:val="0"/>
          <w:numId w:val="1007"/>
        </w:numPr>
        <w:pStyle w:val="Compact"/>
      </w:pPr>
      <w:r>
        <w:rPr>
          <w:bCs/>
          <w:b/>
        </w:rPr>
        <w:t xml:space="preserve">Total Energy Consumption:</w:t>
      </w:r>
      <w:r>
        <w:t xml:space="preserve"> </w:t>
      </w:r>
      <w:r>
        <w:t xml:space="preserve">15 kWh/unit</w:t>
      </w:r>
    </w:p>
    <w:p>
      <w:pPr>
        <w:numPr>
          <w:ilvl w:val="0"/>
          <w:numId w:val="1007"/>
        </w:numPr>
        <w:pStyle w:val="Compact"/>
      </w:pPr>
      <w:r>
        <w:rPr>
          <w:bCs/>
          <w:b/>
        </w:rPr>
        <w:t xml:space="preserve">Renewable Energy Portion:</w:t>
      </w:r>
      <w:r>
        <w:t xml:space="preserve"> </w:t>
      </w:r>
      <w:r>
        <w:t xml:space="preserve">15 kWh * 70% = 10.5 kWh</w:t>
      </w:r>
    </w:p>
    <w:p>
      <w:pPr>
        <w:numPr>
          <w:ilvl w:val="0"/>
          <w:numId w:val="1007"/>
        </w:numPr>
        <w:pStyle w:val="Compact"/>
      </w:pPr>
      <w:r>
        <w:rPr>
          <w:bCs/>
          <w:b/>
        </w:rPr>
        <w:t xml:space="preserve">Grid Energy Portion:</w:t>
      </w:r>
      <w:r>
        <w:t xml:space="preserve"> </w:t>
      </w:r>
      <w:r>
        <w:t xml:space="preserve">15 kWh * 30% = 4.5 kWh</w:t>
      </w:r>
    </w:p>
    <w:p>
      <w:pPr>
        <w:numPr>
          <w:ilvl w:val="0"/>
          <w:numId w:val="1007"/>
        </w:numPr>
        <w:pStyle w:val="Compact"/>
      </w:pPr>
      <w:r>
        <w:rPr>
          <w:bCs/>
          <w:b/>
        </w:rPr>
        <w:t xml:space="preserve">Emissions from Grid Energy:</w:t>
      </w:r>
      <w:r>
        <w:t xml:space="preserve"> </w:t>
      </w:r>
      <w:r>
        <w:t xml:space="preserve">4.5 kWh * 0.6 kg CO2e/kWh = 2.7 kg CO2e</w:t>
      </w:r>
    </w:p>
    <w:p>
      <w:pPr>
        <w:numPr>
          <w:ilvl w:val="0"/>
          <w:numId w:val="1007"/>
        </w:numPr>
        <w:pStyle w:val="Compact"/>
      </w:pPr>
      <w:r>
        <w:rPr>
          <w:bCs/>
          <w:b/>
        </w:rPr>
        <w:t xml:space="preserve">Emissions from Renewable Energy:</w:t>
      </w:r>
      <w:r>
        <w:t xml:space="preserve"> </w:t>
      </w:r>
      <w:r>
        <w:t xml:space="preserve">10.5 kWh * 0.01 kg CO2e/kWh = 0.105 kg CO2e</w:t>
      </w:r>
    </w:p>
    <w:p>
      <w:pPr>
        <w:numPr>
          <w:ilvl w:val="0"/>
          <w:numId w:val="1007"/>
        </w:numPr>
        <w:pStyle w:val="Compact"/>
      </w:pPr>
      <w:r>
        <w:rPr>
          <w:bCs/>
          <w:b/>
        </w:rPr>
        <w:t xml:space="preserve">Total Manufacturing Emissions:</w:t>
      </w:r>
      <w:r>
        <w:t xml:space="preserve"> </w:t>
      </w:r>
      <w:r>
        <w:t xml:space="preserve">2.7 + 0.105 = 2.805 kg CO2e</w:t>
      </w:r>
    </w:p>
    <w:bookmarkEnd w:id="37"/>
    <w:bookmarkStart w:id="38" w:name="c.-transportation-scope-3-category-4"/>
    <w:p>
      <w:pPr>
        <w:pStyle w:val="Heading4"/>
      </w:pPr>
      <w:r>
        <w:t xml:space="preserve">C. Transportation (Scope 3, Category 4)</w:t>
      </w:r>
    </w:p>
    <w:p>
      <w:pPr>
        <w:numPr>
          <w:ilvl w:val="0"/>
          <w:numId w:val="1008"/>
        </w:numPr>
        <w:pStyle w:val="Compact"/>
      </w:pPr>
      <w:r>
        <w:rPr>
          <w:bCs/>
          <w:b/>
        </w:rPr>
        <w:t xml:space="preserve">Upstream Transport (Raw Materials):</w:t>
      </w:r>
      <w:r>
        <w:t xml:space="preserve"> </w:t>
      </w:r>
      <w:r>
        <w:t xml:space="preserve">0.25 kg * (1 tonne / 1000 kg) * 2000 km * 0.08 kg CO2e/tkm = 0.04 kg CO2e</w:t>
      </w:r>
    </w:p>
    <w:p>
      <w:pPr>
        <w:numPr>
          <w:ilvl w:val="0"/>
          <w:numId w:val="1008"/>
        </w:numPr>
        <w:pStyle w:val="Compact"/>
      </w:pPr>
      <w:r>
        <w:rPr>
          <w:bCs/>
          <w:b/>
        </w:rPr>
        <w:t xml:space="preserve">Last-Mile Delivery (Finished Product):</w:t>
      </w:r>
      <w:r>
        <w:t xml:space="preserve"> </w:t>
      </w:r>
      <w:r>
        <w:t xml:space="preserve">Assumed 0.05 kg CO2e/unit (electric van for last mile).</w:t>
      </w:r>
    </w:p>
    <w:p>
      <w:pPr>
        <w:numPr>
          <w:ilvl w:val="0"/>
          <w:numId w:val="1008"/>
        </w:numPr>
        <w:pStyle w:val="Compact"/>
      </w:pPr>
      <w:r>
        <w:rPr>
          <w:bCs/>
          <w:b/>
        </w:rPr>
        <w:t xml:space="preserve">Total Transportation Emissions:</w:t>
      </w:r>
      <w:r>
        <w:t xml:space="preserve"> </w:t>
      </w:r>
      <w:r>
        <w:t xml:space="preserve">0.04 + 0.05 = 0.09 kg CO2e</w:t>
      </w:r>
    </w:p>
    <w:bookmarkEnd w:id="38"/>
    <w:bookmarkStart w:id="39" w:name="d.-use-phase-scope-3-category-11"/>
    <w:p>
      <w:pPr>
        <w:pStyle w:val="Heading4"/>
      </w:pPr>
      <w:r>
        <w:t xml:space="preserve">D. Use Phase (Scope 3, Category 11)</w:t>
      </w:r>
    </w:p>
    <w:p>
      <w:pPr>
        <w:numPr>
          <w:ilvl w:val="0"/>
          <w:numId w:val="1009"/>
        </w:numPr>
        <w:pStyle w:val="Compact"/>
      </w:pPr>
      <w:r>
        <w:rPr>
          <w:bCs/>
          <w:b/>
        </w:rPr>
        <w:t xml:space="preserve">Total Energy Consumption over Lifespan:</w:t>
      </w:r>
      <w:r>
        <w:t xml:space="preserve"> </w:t>
      </w:r>
      <w:r>
        <w:t xml:space="preserve">20 kWh/year * 5 years = 100 kWh</w:t>
      </w:r>
    </w:p>
    <w:p>
      <w:pPr>
        <w:numPr>
          <w:ilvl w:val="0"/>
          <w:numId w:val="1009"/>
        </w:numPr>
        <w:pStyle w:val="Compact"/>
      </w:pPr>
      <w:r>
        <w:rPr>
          <w:bCs/>
          <w:b/>
        </w:rPr>
        <w:t xml:space="preserve">Emissions:</w:t>
      </w:r>
      <w:r>
        <w:t xml:space="preserve"> </w:t>
      </w:r>
      <w:r>
        <w:t xml:space="preserve">100 kWh * 0.25 kg CO2e/kWh (European average) = 25.0 kg CO2e</w:t>
      </w:r>
    </w:p>
    <w:bookmarkEnd w:id="39"/>
    <w:bookmarkStart w:id="40" w:name="X6a428397253276bf9f8ba59c091c512910e08b6"/>
    <w:p>
      <w:pPr>
        <w:pStyle w:val="Heading4"/>
      </w:pPr>
      <w:r>
        <w:t xml:space="preserve">E. End-of-Life (EoL) Treatment (Scope 3, Category 12)</w:t>
      </w:r>
    </w:p>
    <w:p>
      <w:pPr>
        <w:numPr>
          <w:ilvl w:val="0"/>
          <w:numId w:val="1010"/>
        </w:numPr>
        <w:pStyle w:val="Compact"/>
      </w:pPr>
      <w:r>
        <w:rPr>
          <w:bCs/>
          <w:b/>
        </w:rPr>
        <w:t xml:space="preserve">Recycled Portion:</w:t>
      </w:r>
      <w:r>
        <w:t xml:space="preserve"> </w:t>
      </w:r>
      <w:r>
        <w:t xml:space="preserve">0.25 kg * 80% = 0.2 kg</w:t>
      </w:r>
    </w:p>
    <w:p>
      <w:pPr>
        <w:numPr>
          <w:ilvl w:val="0"/>
          <w:numId w:val="1010"/>
        </w:numPr>
        <w:pStyle w:val="Compact"/>
      </w:pPr>
      <w:r>
        <w:rPr>
          <w:bCs/>
          <w:b/>
        </w:rPr>
        <w:t xml:space="preserve">Disposed Portion:</w:t>
      </w:r>
      <w:r>
        <w:t xml:space="preserve"> </w:t>
      </w:r>
      <w:r>
        <w:t xml:space="preserve">0.25 kg * 20% = 0.05 kg</w:t>
      </w:r>
    </w:p>
    <w:p>
      <w:pPr>
        <w:numPr>
          <w:ilvl w:val="0"/>
          <w:numId w:val="1010"/>
        </w:numPr>
        <w:pStyle w:val="Compact"/>
      </w:pPr>
      <w:r>
        <w:rPr>
          <w:bCs/>
          <w:b/>
        </w:rPr>
        <w:t xml:space="preserve">Emissions from Recycling:</w:t>
      </w:r>
      <w:r>
        <w:t xml:space="preserve"> </w:t>
      </w:r>
      <w:r>
        <w:t xml:space="preserve">0.2 kg * 0.1 kg CO2e/kg = 0.02 kg CO2e</w:t>
      </w:r>
    </w:p>
    <w:p>
      <w:pPr>
        <w:numPr>
          <w:ilvl w:val="0"/>
          <w:numId w:val="1010"/>
        </w:numPr>
        <w:pStyle w:val="Compact"/>
      </w:pPr>
      <w:r>
        <w:rPr>
          <w:bCs/>
          <w:b/>
        </w:rPr>
        <w:t xml:space="preserve">Emissions from Disposal:</w:t>
      </w:r>
      <w:r>
        <w:t xml:space="preserve"> </w:t>
      </w:r>
      <w:r>
        <w:t xml:space="preserve">0.05 kg * 1.0 kg CO2e/kg = 0.05 kg CO2e</w:t>
      </w:r>
    </w:p>
    <w:p>
      <w:pPr>
        <w:numPr>
          <w:ilvl w:val="0"/>
          <w:numId w:val="1010"/>
        </w:numPr>
        <w:pStyle w:val="Compact"/>
      </w:pPr>
      <w:r>
        <w:rPr>
          <w:bCs/>
          <w:b/>
        </w:rPr>
        <w:t xml:space="preserve">Total EoL Emissions:</w:t>
      </w:r>
      <w:r>
        <w:t xml:space="preserve"> </w:t>
      </w:r>
      <w:r>
        <w:t xml:space="preserve">0.02 + 0.05 = 0.07 kg CO2e</w:t>
      </w:r>
    </w:p>
    <w:bookmarkEnd w:id="40"/>
    <w:bookmarkEnd w:id="41"/>
    <w:bookmarkStart w:id="42" w:name="X053ae3c2937ee0a452c9c38a9f1b0db301d22d0"/>
    <w:p>
      <w:pPr>
        <w:pStyle w:val="Heading3"/>
      </w:pPr>
      <w:r>
        <w:t xml:space="preserve">Summary of Product Carbon Footprint for rgmrrxgeut</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c>
          <w:tcPr/>
          <w:p>
            <w:pPr>
              <w:pStyle w:val="Compact"/>
              <w:jc w:val="left"/>
            </w:pPr>
            <w:r>
              <w:t xml:space="preserve">Percentage of Total</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1.5975</w:t>
            </w:r>
          </w:p>
        </w:tc>
        <w:tc>
          <w:tcPr/>
          <w:p>
            <w:pPr>
              <w:pStyle w:val="Compact"/>
              <w:jc w:val="left"/>
            </w:pPr>
            <w:r>
              <w:t xml:space="preserve">5.40%</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2.805</w:t>
            </w:r>
          </w:p>
        </w:tc>
        <w:tc>
          <w:tcPr/>
          <w:p>
            <w:pPr>
              <w:pStyle w:val="Compact"/>
              <w:jc w:val="left"/>
            </w:pPr>
            <w:r>
              <w:t xml:space="preserve">9.49%</w:t>
            </w:r>
          </w:p>
        </w:tc>
      </w:tr>
      <w:tr>
        <w:tc>
          <w:tcPr/>
          <w:p>
            <w:pPr>
              <w:pStyle w:val="Compact"/>
              <w:jc w:val="left"/>
            </w:pPr>
            <w:r>
              <w:t xml:space="preserve">Transportation (Upstream &amp; Downstream)</w:t>
            </w:r>
          </w:p>
        </w:tc>
        <w:tc>
          <w:tcPr/>
          <w:p>
            <w:pPr>
              <w:pStyle w:val="Compact"/>
              <w:jc w:val="left"/>
            </w:pPr>
            <w:r>
              <w:t xml:space="preserve">Scope 3, Category 4</w:t>
            </w:r>
          </w:p>
        </w:tc>
        <w:tc>
          <w:tcPr/>
          <w:p>
            <w:pPr>
              <w:pStyle w:val="Compact"/>
              <w:jc w:val="left"/>
            </w:pPr>
            <w:r>
              <w:t xml:space="preserve">0.09</w:t>
            </w:r>
          </w:p>
        </w:tc>
        <w:tc>
          <w:tcPr/>
          <w:p>
            <w:pPr>
              <w:pStyle w:val="Compact"/>
              <w:jc w:val="left"/>
            </w:pPr>
            <w:r>
              <w:t xml:space="preserve">0.30%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25.0</w:t>
            </w:r>
          </w:p>
        </w:tc>
        <w:tc>
          <w:tcPr/>
          <w:p>
            <w:pPr>
              <w:pStyle w:val="Compact"/>
              <w:jc w:val="left"/>
            </w:pPr>
            <w:r>
              <w:t xml:space="preserve">84.57%</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0.07</w:t>
            </w:r>
          </w:p>
        </w:tc>
        <w:tc>
          <w:tcPr/>
          <w:p>
            <w:pPr>
              <w:pStyle w:val="Compact"/>
              <w:jc w:val="left"/>
            </w:pPr>
            <w:r>
              <w:t xml:space="preserve">0.24%</w:t>
            </w:r>
          </w:p>
        </w:tc>
      </w:tr>
      <w:tr>
        <w:tc>
          <w:tcPr>
            <w:gridSpan w:val="2"/>
          </w:tcPr>
          <w:p>
            <w:pPr>
              <w:pStyle w:val="Compact"/>
              <w:jc w:val="right"/>
            </w:pPr>
            <w:r>
              <w:t xml:space="preserve">Total Product Carbon Footprint:</w:t>
            </w:r>
          </w:p>
        </w:tc>
        <w:tc>
          <w:tcPr/>
          <w:p>
            <w:pPr>
              <w:pStyle w:val="Compact"/>
              <w:jc w:val="left"/>
            </w:pPr>
            <w:r>
              <w:t xml:space="preserve">29.5625</w:t>
            </w:r>
          </w:p>
        </w:tc>
        <w:tc>
          <w:tcPr/>
          <w:p>
            <w:pPr>
              <w:pStyle w:val="Compact"/>
              <w:jc w:val="left"/>
            </w:pPr>
            <w:r>
              <w:t xml:space="preserve">100.00%</w:t>
            </w:r>
          </w:p>
        </w:tc>
      </w:tr>
    </w:tbl>
    <w:bookmarkEnd w:id="42"/>
    <w:bookmarkStart w:id="43" w:name="ghg-protocol-scope-categorization"/>
    <w:p>
      <w:pPr>
        <w:pStyle w:val="Heading3"/>
      </w:pPr>
      <w:r>
        <w:t xml:space="preserve">GHG Protocol Scope Categorization</w:t>
      </w:r>
    </w:p>
    <w:p>
      <w:pPr>
        <w:numPr>
          <w:ilvl w:val="0"/>
          <w:numId w:val="1011"/>
        </w:numPr>
        <w:pStyle w:val="Compact"/>
      </w:pPr>
      <w:r>
        <w:rPr>
          <w:bCs/>
          <w:b/>
        </w:rPr>
        <w:t xml:space="preserve">Scope 1 (Direct Emissions):</w:t>
      </w:r>
      <w:r>
        <w:t xml:space="preserve"> </w:t>
      </w:r>
      <w:r>
        <w:t xml:space="preserve">Negligible direct emissions owned or controlled by wuqgnihjdf specifically for the production of rgmrrxgeut beyond what\'s captured in purchased energy.</w:t>
      </w:r>
    </w:p>
    <w:p>
      <w:pPr>
        <w:numPr>
          <w:ilvl w:val="0"/>
          <w:numId w:val="1011"/>
        </w:numPr>
        <w:pStyle w:val="Compact"/>
      </w:pPr>
      <w:r>
        <w:rPr>
          <w:bCs/>
          <w:b/>
        </w:rPr>
        <w:t xml:space="preserve">Scope 2 (Indirect Emissions from Purchased Energy):</w:t>
      </w:r>
      <w:r>
        <w:t xml:space="preserve"> </w:t>
      </w:r>
      <w:r>
        <w:t xml:space="preserve">2.805 kg CO2e (from manufacturing electricity).</w:t>
      </w:r>
    </w:p>
    <w:p>
      <w:pPr>
        <w:numPr>
          <w:ilvl w:val="0"/>
          <w:numId w:val="1011"/>
        </w:numPr>
        <w:pStyle w:val="Compact"/>
      </w:pPr>
      <w:r>
        <w:rPr>
          <w:bCs/>
          <w:b/>
        </w:rPr>
        <w:t xml:space="preserve">Scope 3 (Other Indirect Emissions from Value Chain):</w:t>
      </w:r>
      <w:r>
        <w:t xml:space="preserve"> </w:t>
      </w:r>
      <w:r>
        <w:t xml:space="preserve">1.5975 (Materials) + 0.09 (Transport) + 25.0 (Use Phase) + 0.07 (EoL) = 26.7575 kg CO2e.</w:t>
      </w:r>
    </w:p>
    <w:p>
      <w:pPr>
        <w:pStyle w:val="FirstParagraph"/>
      </w:pPr>
      <w:r>
        <w:t xml:space="preserve">This report demonstrates the comprehensive coverage of emissions across all relevant scopes, with Scope 3 representing the vast majority of the product\'s footprint, as is common for electronic goods.</w:t>
      </w:r>
    </w:p>
    <w:bookmarkEnd w:id="43"/>
    <w:bookmarkStart w:id="44" w:name="lsr-update-application"/>
    <w:p>
      <w:pPr>
        <w:pStyle w:val="Heading3"/>
      </w:pPr>
      <w:r>
        <w:t xml:space="preserve">2026 LSR Update Application</w:t>
      </w:r>
    </w:p>
    <w:p>
      <w:pPr>
        <w:pStyle w:val="FirstParagraph"/>
      </w:pPr>
      <w:r>
        <w:t xml:space="preserve">The **Land Sector and Removals (LSR) Standard**, effective January 1, 2027, provides requirements and guidance for quantifying, reporting, and tracking land emissions and CO2 removals. For rgmrrxgeut, a product composed primarily of manufactured materials, direct land-use change and biogenic carbon impacts are not primary drivers. However, wuqgnihjdf acknowledges the importance of the LSR Standard and will continue to evaluate its applicability for indirect land-related emissions embedded in the supply chain (e.g., raw material sourcing if it involves agriculture or forestry products) in future, more detailed supply chain analyses.</w:t>
      </w:r>
    </w:p>
    <w:bookmarkEnd w:id="44"/>
    <w:bookmarkStart w:id="45" w:name="scope-3-compliance-95-coverage"/>
    <w:p>
      <w:pPr>
        <w:pStyle w:val="Heading3"/>
      </w:pPr>
      <w:r>
        <w:t xml:space="preserve">Scope 3 Compliance (95% Coverage)</w:t>
      </w:r>
    </w:p>
    <w:p>
      <w:pPr>
        <w:pStyle w:val="FirstParagraph"/>
      </w:pPr>
      <w:r>
        <w:t xml:space="preserve">As per the 2026 requirements, efforts have been made to ensure at least 95% coverage for Scope 3 reporting. The current analysis includes all material, transport, use phase, and end-of-life impacts, which are typically the dominant categories for a manufactured product like rgmrrxgeut. Any minor exclusions would be transparently disclosed and justified, demonstrating adherence to the principle of completeness and materiality.</w:t>
      </w:r>
    </w:p>
    <w:p>
      <w:r>
        <w:pict>
          <v:rect style="width:0;height:1.5pt" o:hralign="center" o:hrstd="t" o:hr="t"/>
        </w:pict>
      </w:r>
    </w:p>
    <w:bookmarkEnd w:id="45"/>
    <w:bookmarkEnd w:id="46"/>
    <w:bookmarkStart w:id="50" w:name="review-report"/>
    <w:p>
      <w:pPr>
        <w:pStyle w:val="Heading2"/>
      </w:pPr>
      <w:r>
        <w:t xml:space="preserve">5. Review &amp; Report</w:t>
      </w:r>
    </w:p>
    <w:bookmarkStart w:id="47" w:name="emission-hotspots"/>
    <w:p>
      <w:pPr>
        <w:pStyle w:val="Heading3"/>
      </w:pPr>
      <w:r>
        <w:t xml:space="preserve">5.1 Emission Hotspots</w:t>
      </w:r>
    </w:p>
    <w:p>
      <w:pPr>
        <w:pStyle w:val="FirstParagraph"/>
      </w:pPr>
      <w:r>
        <w:t xml:space="preserve">The analysis clearly identifies the **Use Phase** as the predominant emission hotspot, contributing approximately 84.57% of the total product carbon footprint. This is primarily due to the energy consumption of rgmrrxgeut over its 5-year lifespan. The Manufacturing stage (Scope 2) is the second largest contributor at 9.49%, followed by Raw Material Acquisition (Scope 3, Category 1) at 5.40%. Transportation and End-of-Life treatment have comparatively smaller, but still relevant, impacts.</w:t>
      </w:r>
    </w:p>
    <w:bookmarkEnd w:id="47"/>
    <w:bookmarkStart w:id="48" w:name="data-reliability-and-limitations"/>
    <w:p>
      <w:pPr>
        <w:pStyle w:val="Heading3"/>
      </w:pPr>
      <w:r>
        <w:t xml:space="preserve">5.2 Data Reliability and Limitations</w:t>
      </w:r>
    </w:p>
    <w:p>
      <w:pPr>
        <w:pStyle w:val="FirstParagraph"/>
      </w:pPr>
      <w:r>
        <w:t xml:space="preserve">The reliability of this PCF is considered high, given the use of specific primary data for the Bill of Materials and energy customization. Secondary data, such as emission factors for grid electricity, transport, and end-of-life scenarios, are derived from widely accepted industry databases (e.g., proxy values from Ecoinvent/DEFRA equivalents, IEA, EPA).</w:t>
      </w:r>
    </w:p>
    <w:p>
      <w:pPr>
        <w:pStyle w:val="BodyText"/>
      </w:pPr>
      <w:r>
        <w:rPr>
          <w:bCs/>
          <w:b/>
        </w:rPr>
        <w:t xml:space="preserve">Limitations:</w:t>
      </w:r>
    </w:p>
    <w:p>
      <w:pPr>
        <w:numPr>
          <w:ilvl w:val="0"/>
          <w:numId w:val="1012"/>
        </w:numPr>
        <w:pStyle w:val="Compact"/>
      </w:pPr>
      <w:r>
        <w:t xml:space="preserve">Some emission factors are based on regional averages (e.g., China grid mix, European grid mix), which may not perfectly reflect the specific energy sources or transport routes for every single component or customer.</w:t>
      </w:r>
    </w:p>
    <w:p>
      <w:pPr>
        <w:numPr>
          <w:ilvl w:val="0"/>
          <w:numId w:val="1012"/>
        </w:numPr>
        <w:pStyle w:val="Compact"/>
      </w:pPr>
      <w:r>
        <w:t xml:space="preserve">The simulated BOM assumes realistic components and quantities. While representative, specific supplier-provided LCA data for each sub-component would further enhance accuracy.</w:t>
      </w:r>
    </w:p>
    <w:p>
      <w:pPr>
        <w:numPr>
          <w:ilvl w:val="0"/>
          <w:numId w:val="1012"/>
        </w:numPr>
        <w:pStyle w:val="Compact"/>
      </w:pPr>
      <w:r>
        <w:t xml:space="preserve">Future updates to emission factors and improved data granularity will continuously enhance the precision of this assessment.</w:t>
      </w:r>
    </w:p>
    <w:bookmarkEnd w:id="48"/>
    <w:bookmarkStart w:id="49" w:name="recommendations-for-emission-reduction"/>
    <w:p>
      <w:pPr>
        <w:pStyle w:val="Heading3"/>
      </w:pPr>
      <w:r>
        <w:t xml:space="preserve">5.3 Recommendations for Emission Reduction</w:t>
      </w:r>
    </w:p>
    <w:p>
      <w:pPr>
        <w:pStyle w:val="FirstParagraph"/>
      </w:pPr>
      <w:r>
        <w:t xml:space="preserve">Based on the identified hotspots, the following recommendations are proposed for wuqgnihjdf to reduce the PCF of rgmrrxgeut:</w:t>
      </w:r>
    </w:p>
    <w:p>
      <w:pPr>
        <w:numPr>
          <w:ilvl w:val="0"/>
          <w:numId w:val="1013"/>
        </w:numPr>
        <w:pStyle w:val="Compact"/>
      </w:pPr>
      <w:r>
        <w:rPr>
          <w:bCs/>
          <w:b/>
        </w:rPr>
        <w:t xml:space="preserve">Optimize Use Phase Energy Efficiency:</w:t>
      </w:r>
      <w:r>
        <w:t xml:space="preserve"> </w:t>
      </w:r>
      <w:r>
        <w:t xml:space="preserve">Focus on engineering solutions to reduce the product\'s annual energy consumption during its lifespan. This could involve more efficient components, power management features, or lower-power modes.</w:t>
      </w:r>
    </w:p>
    <w:p>
      <w:pPr>
        <w:numPr>
          <w:ilvl w:val="0"/>
          <w:numId w:val="1013"/>
        </w:numPr>
        <w:pStyle w:val="Compact"/>
      </w:pPr>
      <w:r>
        <w:rPr>
          <w:bCs/>
          <w:b/>
        </w:rPr>
        <w:t xml:space="preserve">Promote Renewable Energy Adoption by End-Users:</w:t>
      </w:r>
      <w:r>
        <w:t xml:space="preserve"> </w:t>
      </w:r>
      <w:r>
        <w:t xml:space="preserve">Encourage users to power the product with renewable electricity where possible, potentially through partnerships or consumer education campaigns.</w:t>
      </w:r>
    </w:p>
    <w:p>
      <w:pPr>
        <w:numPr>
          <w:ilvl w:val="0"/>
          <w:numId w:val="1013"/>
        </w:numPr>
        <w:pStyle w:val="Compact"/>
      </w:pPr>
      <w:r>
        <w:rPr>
          <w:bCs/>
          <w:b/>
        </w:rPr>
        <w:t xml:space="preserve">Enhance Manufacturing Sustainability:</w:t>
      </w:r>
      <w:r>
        <w:t xml:space="preserve"> </w:t>
      </w:r>
      <w:r>
        <w:t xml:space="preserve">While 70% renewable energy usage is commendable, aim for 100% renewable energy procurement at the manufacturing facility in China. Further optimize production processes for energy and material efficiency.</w:t>
      </w:r>
    </w:p>
    <w:p>
      <w:pPr>
        <w:numPr>
          <w:ilvl w:val="0"/>
          <w:numId w:val="1013"/>
        </w:numPr>
        <w:pStyle w:val="Compact"/>
      </w:pPr>
      <w:r>
        <w:rPr>
          <w:bCs/>
          <w:b/>
        </w:rPr>
        <w:t xml:space="preserve">Strengthen Circularity and Take-back Programs:</w:t>
      </w:r>
      <w:r>
        <w:t xml:space="preserve"> </w:t>
      </w:r>
      <w:r>
        <w:t xml:space="preserve">Continue to invest in and expand the "uywidttgzk" circular/take-back programs to maximize product lifespan through repair, refurbishment, and high-quality recycling. Explore design for disassembly to facilitate material recovery.</w:t>
      </w:r>
    </w:p>
    <w:p>
      <w:pPr>
        <w:numPr>
          <w:ilvl w:val="0"/>
          <w:numId w:val="1013"/>
        </w:numPr>
        <w:pStyle w:val="Compact"/>
      </w:pPr>
      <w:r>
        <w:rPr>
          <w:bCs/>
          <w:b/>
        </w:rPr>
        <w:t xml:space="preserve">Supply Chain Engagement:</w:t>
      </w:r>
      <w:r>
        <w:t xml:space="preserve"> </w:t>
      </w:r>
      <w:r>
        <w:t xml:space="preserve">Engage with key suppliers to encourage their decarbonization efforts, especially for high-impact components, and explore opportunities for sourcing lower-carbon materials.</w:t>
      </w:r>
    </w:p>
    <w:p>
      <w:r>
        <w:pict>
          <v:rect style="width:0;height:1.5pt" o:hralign="center" o:hrstd="t" o:hr="t"/>
        </w:pict>
      </w:r>
    </w:p>
    <w:p>
      <w:pPr>
        <w:pStyle w:val="FirstParagraph"/>
      </w:pPr>
      <w:r>
        <w:t xml:space="preserve">Confidential - Internal Use Only</w:t>
      </w:r>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rgmrrxgeut</dc:title>
  <dc:creator/>
  <dc:description>A high-detail Product Carbon Footprint (PCF) analysis report for rgmrrxgeut, conducted by mklogrirhs for wuqgnihjdf, adhering to GHG Protocol standards and 2026 updates.</dc:description>
  <dc:language>en</dc:language>
  <cp:keywords/>
  <dcterms:created xsi:type="dcterms:W3CDTF">2026-07-15T05:09:13Z</dcterms:created>
  <dcterms:modified xsi:type="dcterms:W3CDTF">2026-07-15T05:09:13Z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