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rfnveiikdl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rfnveiikdl</w:t>
      </w:r>
    </w:p>
    <w:p>
      <w:pPr>
        <w:pStyle w:val="BodyText"/>
      </w:pPr>
      <w:r>
        <w:rPr>
          <w:bCs/>
          <w:b/>
        </w:rPr>
        <w:t xml:space="preserve">Company Name:</w:t>
      </w:r>
      <w:r>
        <w:t xml:space="preserve"> </w:t>
      </w:r>
      <w:r>
        <w:t xml:space="preserve">qwgslejjfv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oniphfzqum</w:t>
      </w:r>
    </w:p>
    <w:p>
      <w:pPr>
        <w:pStyle w:val="BodyText"/>
      </w:pPr>
      <w:r>
        <w:rPr>
          <w:bCs/>
          <w:b/>
        </w:rPr>
        <w:t xml:space="preserve">Disclaimer:</w:t>
      </w:r>
      <w:r>
        <w:t xml:space="preserve"> </w:t>
      </w:r>
      <w:r>
        <w:t xml:space="preserve">This report is generated based on available data, industry standards, and specified parameters. The accuracy of the analysis is contingent upon the completeness and precision of the input data provided. Certain values are based on assumed representative data where specific inputs were placeholders.</w:t>
      </w:r>
    </w:p>
    <w:bookmarkEnd w:id="20"/>
    <w:bookmarkStart w:id="41" w:name="Xabdc0dda4c32faf521882cce354a26ab843d908"/>
    <w:p>
      <w:pPr>
        <w:pStyle w:val="Heading1"/>
      </w:pPr>
      <w:r>
        <w:t xml:space="preserve">Product Carbon Footprint Analysis Report for rfnveiikdl</w:t>
      </w:r>
    </w:p>
    <w:p>
      <w:pPr>
        <w:pStyle w:val="FirstParagraph"/>
      </w:pPr>
      <w:r>
        <w:rPr>
          <w:bCs/>
          <w:b/>
        </w:rPr>
        <w:t xml:space="preserve">Generated Date:</w:t>
      </w:r>
      <w:r>
        <w:t xml:space="preserve"> </w:t>
      </w:r>
      <w:r>
        <w:t xml:space="preserve">May 25,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rfnveiikdl</w:t>
      </w:r>
      <w:r>
        <w:t xml:space="preserve">, manufactured by</w:t>
      </w:r>
      <w:r>
        <w:t xml:space="preserve"> </w:t>
      </w:r>
      <w:r>
        <w:rPr>
          <w:bCs/>
          <w:b/>
        </w:rPr>
        <w:t xml:space="preserve">qwgslejjfv</w:t>
      </w:r>
      <w:r>
        <w:t xml:space="preserve">. Conducted by</w:t>
      </w:r>
      <w:r>
        <w:t xml:space="preserve"> </w:t>
      </w:r>
      <w:r>
        <w:rPr>
          <w:bCs/>
          <w:b/>
        </w:rPr>
        <w:t xml:space="preserve">oniphfzqum</w:t>
      </w:r>
      <w:r>
        <w:t xml:space="preserve">, Senior Sustainability Consultant, this analysis adheres strictly to the GHG Protocol accounting standard, incorporating the 2026 Land Sector and Removals (LSR) update and ensuring over 95% Scope 3 coverage. The primary goal is to quantify the greenhouse gas (GHG) emissions associated with rfnveiikdl across its entire lifecycle, from material acquisition to end-of-life, identify emission hotspots, and provide actionable insights for emission reduction strategies.</w:t>
      </w:r>
    </w:p>
    <w:p>
      <w:pPr>
        <w:pStyle w:val="BodyText"/>
      </w:pPr>
      <w:r>
        <w:t xml:space="preserve">The system boundary for this PCF is "factory_gate", but the analysis extends to cover the use phase and end-of-life stages for a comprehensive cradle-to-grave perspective, aligning with GHG Protocol Product Standard requirements for complete lifecycle assessment. The geographic scope focuses on final production in China with a supply chain focus on Europe. Detailed material inputs, energy consumption, transportation logistics, and end-of-life scenarios have been incorporated to provide a robust and accurate assessment of the product\'s environmental impact.</w:t>
      </w:r>
    </w:p>
    <w:p>
      <w:r>
        <w:pict>
          <v:rect style="width:0;height:1.5pt" o:hralign="center" o:hrstd="t" o:hr="t"/>
        </w:pict>
      </w:r>
    </w:p>
    <w:bookmarkEnd w:id="21"/>
    <w:bookmarkStart w:id="29" w:name="methodology-and-scope-definition"/>
    <w:p>
      <w:pPr>
        <w:pStyle w:val="Heading2"/>
      </w:pPr>
      <w:r>
        <w:t xml:space="preserve">2. Methodology and Scope Definition</w:t>
      </w:r>
    </w:p>
    <w:p>
      <w:pPr>
        <w:pStyle w:val="FirstParagraph"/>
      </w:pPr>
      <w:r>
        <w:t xml:space="preserve">The Product Carbon Footprint (PCF) analysis for rfnveiikdl follows a rigorous five-step methodology compliant with the GHG Protocol Product Life Cycle Accounting and Reporting Standard.</w:t>
      </w:r>
    </w:p>
    <w:bookmarkStart w:id="22"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rfnveiikdl</w:t>
      </w:r>
      <w:r>
        <w:t xml:space="preserve">.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The defined system boundary is</w:t>
      </w:r>
      <w:r>
        <w:t xml:space="preserve"> </w:t>
      </w:r>
      <w:r>
        <w:rPr>
          <w:bCs/>
          <w:b/>
        </w:rPr>
        <w:t xml:space="preserve">factory_gate</w:t>
      </w:r>
      <w:r>
        <w:t xml:space="preserve">, meaning direct operations up to the point the product leaves the factory are considered. However, to provide a complete "cradle-to-grave" assessment, the analysis extends beyond the factory gate to include downstream transportation, the product\'s use phase, and end-of-life management.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Allocation:</w:t>
      </w:r>
      <w:r>
        <w:t xml:space="preserve"> </w:t>
      </w:r>
      <w:r>
        <w:t xml:space="preserve">Emissions from shared processes (e.g., shared manufacturing facilities) are allocated to rfnveiikdl based on a relevant physical parameter such as mass or economic value, ensuring fairness and proportionality in attributing environmental burden.</w:t>
      </w:r>
    </w:p>
    <w:p>
      <w:pPr>
        <w:numPr>
          <w:ilvl w:val="0"/>
          <w:numId w:val="1001"/>
        </w:numPr>
        <w:pStyle w:val="Compact"/>
      </w:pPr>
      <w:r>
        <w:rPr>
          <w:bCs/>
          <w:b/>
        </w:rPr>
        <w:t xml:space="preserve">Accounting Standard:</w:t>
      </w:r>
      <w:r>
        <w:t xml:space="preserve"> </w:t>
      </w:r>
      <w:r>
        <w:t xml:space="preserve">The entire analysis is conducted in strict accordance with the</w:t>
      </w:r>
      <w:r>
        <w:t xml:space="preserve"> </w:t>
      </w:r>
      <w:r>
        <w:rPr>
          <w:bCs/>
          <w:b/>
        </w:rPr>
        <w:t xml:space="preserve">GHG Protocol Product Life Cycle Accounting and Reporting Standard</w:t>
      </w:r>
      <w:r>
        <w:t xml:space="preserve">. This ensures consistency, comparability, and transparency in emission calculations and reporting.</w:t>
      </w:r>
    </w:p>
    <w:bookmarkEnd w:id="22"/>
    <w:bookmarkStart w:id="28" w:name="step-2-3-map-lifecycle-and-collect-data"/>
    <w:p>
      <w:pPr>
        <w:pStyle w:val="Heading3"/>
      </w:pPr>
      <w:r>
        <w:t xml:space="preserve">2.2. Step 2 &amp; 3: Map Lifecycle and Collect Data</w:t>
      </w:r>
    </w:p>
    <w:p>
      <w:pPr>
        <w:pStyle w:val="FirstParagraph"/>
      </w:pPr>
      <w:r>
        <w:t xml:space="preserve">This section details the lifecycle stages considered and the primary and secondary data points collected for the PCF analysis. Data collection prioritizes primary data where available and uses representative secondary data from credible databases (e.g., Ecoinvent, DEFRA) for generic processes and background data.</w:t>
      </w:r>
    </w:p>
    <w:bookmarkStart w:id="23" w:name="Xf89266ef6c816a30793e3f0a37e309cfcbbece2"/>
    <w:p>
      <w:pPr>
        <w:pStyle w:val="Heading4"/>
      </w:pPr>
      <w:r>
        <w:t xml:space="preserve">2.2.1. Detailed Bill of Materials (BOM) for rfnveiikdl</w:t>
      </w:r>
    </w:p>
    <w:p>
      <w:pPr>
        <w:pStyle w:val="FirstParagraph"/>
      </w:pPr>
      <w:r>
        <w:t xml:space="preserve">The following Bill of Materials (BOM) provides a high-accuracy basis for calculating material-related emissions. The "Calculated Total Carbon" value is derived from the provided Quantity and Emission Factor. The placeholder</w:t>
      </w:r>
      <w:r>
        <w:t xml:space="preserve"> </w:t>
      </w:r>
      <w:r>
        <w:rPr>
          <w:bCs/>
          <w:b/>
        </w:rPr>
        <w:t xml:space="preserve">jglgtwie</w:t>
      </w:r>
      <w:r>
        <w:t xml:space="preserve"> </w:t>
      </w:r>
      <w:r>
        <w:t xml:space="preserve">has been interpreted with representative material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Calculated 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Alloy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r>
      <w:tr>
        <w:tc>
          <w:tcPr/>
          <w:p>
            <w:pPr>
              <w:pStyle w:val="Compact"/>
              <w:jc w:val="left"/>
            </w:pPr>
            <w:r>
              <w:t xml:space="preserve">M002</w:t>
            </w:r>
          </w:p>
        </w:tc>
        <w:tc>
          <w:tcPr/>
          <w:p>
            <w:pPr>
              <w:pStyle w:val="Compact"/>
              <w:jc w:val="left"/>
            </w:pPr>
            <w:r>
              <w:t xml:space="preserve">Polycarbonate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Semiconductor</w:t>
            </w:r>
          </w:p>
        </w:tc>
        <w:tc>
          <w:tcPr/>
          <w:p>
            <w:pPr>
              <w:pStyle w:val="Compact"/>
              <w:jc w:val="left"/>
            </w:pPr>
            <w:r>
              <w:t xml:space="preserve">Chip 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350.0</w:t>
            </w:r>
          </w:p>
        </w:tc>
        <w:tc>
          <w:tcPr/>
          <w:p>
            <w:pPr>
              <w:pStyle w:val="Compact"/>
              <w:jc w:val="left"/>
            </w:pPr>
            <w:r>
              <w:t xml:space="preserve">3.50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2.8</w:t>
            </w:r>
          </w:p>
        </w:tc>
        <w:tc>
          <w:tcPr/>
          <w:p>
            <w:pPr>
              <w:pStyle w:val="Compact"/>
              <w:jc w:val="left"/>
            </w:pPr>
            <w:r>
              <w:t xml:space="preserve">0.14</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Cardboard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bl>
    <w:p>
      <w:pPr>
        <w:pStyle w:val="BodyText"/>
      </w:pPr>
      <w:r>
        <w:rPr>
          <w:iCs/>
          <w:i/>
        </w:rPr>
        <w:t xml:space="preserve">Note: Emission factors are illustrative and based on generic industry averages for the specified materials and processes from databases like Ecoinvent and DEFRA.</w:t>
      </w:r>
    </w:p>
    <w:bookmarkEnd w:id="23"/>
    <w:bookmarkStart w:id="24" w:name="energy-inputs-production-phase"/>
    <w:p>
      <w:pPr>
        <w:pStyle w:val="Heading4"/>
      </w:pPr>
      <w:r>
        <w:t xml:space="preserve">2.2.2. Energy Inputs (Production Phase)</w:t>
      </w:r>
    </w:p>
    <w:p>
      <w:pPr>
        <w:pStyle w:val="FirstParagraph"/>
      </w:pPr>
      <w:r>
        <w:t xml:space="preserve">Production energy data for the manufacturing of rfnveiikdl. The placeholders</w:t>
      </w:r>
      <w:r>
        <w:t xml:space="preserve"> </w:t>
      </w:r>
      <w:r>
        <w:rPr>
          <w:bCs/>
          <w:b/>
        </w:rPr>
        <w:t xml:space="preserve">yytlphxngv</w:t>
      </w:r>
      <w:r>
        <w:t xml:space="preserve"> </w:t>
      </w:r>
      <w:r>
        <w:t xml:space="preserve">and</w:t>
      </w:r>
      <w:r>
        <w:t xml:space="preserve"> </w:t>
      </w:r>
      <w:r>
        <w:rPr>
          <w:bCs/>
          <w:b/>
        </w:rPr>
        <w:t xml:space="preserve">pysgiftotg</w:t>
      </w:r>
      <w:r>
        <w:t xml:space="preserve"> </w:t>
      </w:r>
      <w:r>
        <w:t xml:space="preserve">have been interpreted with representative values:</w:t>
      </w:r>
    </w:p>
    <w:p>
      <w:pPr>
        <w:numPr>
          <w:ilvl w:val="0"/>
          <w:numId w:val="1003"/>
        </w:numPr>
        <w:pStyle w:val="Compact"/>
      </w:pPr>
      <w:r>
        <w:rPr>
          <w:bCs/>
          <w:b/>
        </w:rPr>
        <w:t xml:space="preserve">Renewable Energy Usage (yytlphxngv):</w:t>
      </w:r>
      <w:r>
        <w:t xml:space="preserve"> </w:t>
      </w:r>
      <w:r>
        <w:t xml:space="preserve">For calculation purposes,</w:t>
      </w:r>
      <w:r>
        <w:t xml:space="preserve"> </w:t>
      </w:r>
      <w:r>
        <w:rPr>
          <w:bCs/>
          <w:b/>
        </w:rPr>
        <w:t xml:space="preserve">30% renewable energy usage</w:t>
      </w:r>
      <w:r>
        <w:t xml:space="preserve"> </w:t>
      </w:r>
      <w:r>
        <w:t xml:space="preserve">is assumed for the production facility in China.</w:t>
      </w:r>
    </w:p>
    <w:p>
      <w:pPr>
        <w:numPr>
          <w:ilvl w:val="0"/>
          <w:numId w:val="1003"/>
        </w:numPr>
        <w:pStyle w:val="Compact"/>
      </w:pPr>
      <w:r>
        <w:rPr>
          <w:bCs/>
          <w:b/>
        </w:rPr>
        <w:t xml:space="preserve">Energy Intensity (kWh/unit) (pysgiftotg):</w:t>
      </w:r>
      <w:r>
        <w:t xml:space="preserve"> </w:t>
      </w:r>
      <w:r>
        <w:rPr>
          <w:bCs/>
          <w:b/>
        </w:rPr>
        <w:t xml:space="preserve">15.0 kWh/unit</w:t>
      </w:r>
      <w:r>
        <w:t xml:space="preserve"> </w:t>
      </w:r>
      <w:r>
        <w:t xml:space="preserve">of rfnveiikdl.</w:t>
      </w:r>
    </w:p>
    <w:p>
      <w:pPr>
        <w:numPr>
          <w:ilvl w:val="0"/>
          <w:numId w:val="1003"/>
        </w:numPr>
        <w:pStyle w:val="Compact"/>
      </w:pPr>
      <w:r>
        <w:rPr>
          <w:bCs/>
          <w:b/>
        </w:rPr>
        <w:t xml:space="preserve">Grid Emission Factor (China):</w:t>
      </w:r>
      <w:r>
        <w:t xml:space="preserve"> </w:t>
      </w:r>
      <w:r>
        <w:t xml:space="preserve">For the non-renewable portion, an average grid emission factor for China is used (e.g., ~0.6 kg CO2e/kWh).</w:t>
      </w:r>
    </w:p>
    <w:p>
      <w:pPr>
        <w:numPr>
          <w:ilvl w:val="0"/>
          <w:numId w:val="1003"/>
        </w:numPr>
        <w:pStyle w:val="Compact"/>
      </w:pPr>
      <w:r>
        <w:rPr>
          <w:bCs/>
          <w:b/>
        </w:rPr>
        <w:t xml:space="preserve">Renewable Energy Emission Factor:</w:t>
      </w:r>
      <w:r>
        <w:t xml:space="preserve"> </w:t>
      </w:r>
      <w:r>
        <w:t xml:space="preserve">Assumed near zero (e.g., 0.01 kg CO2e/kWh for upstream/lifecycle emissions of renewable sources).</w:t>
      </w:r>
    </w:p>
    <w:bookmarkEnd w:id="24"/>
    <w:bookmarkStart w:id="25" w:name="transport-logistics-data"/>
    <w:p>
      <w:pPr>
        <w:pStyle w:val="Heading4"/>
      </w:pPr>
      <w:r>
        <w:t xml:space="preserve">2.2.3. Transport Logistics Data</w:t>
      </w:r>
    </w:p>
    <w:p>
      <w:pPr>
        <w:pStyle w:val="FirstParagraph"/>
      </w:pPr>
      <w:r>
        <w:t xml:space="preserve">Transportation plays a significant role in Scope 3 emissions. The placeholders</w:t>
      </w:r>
      <w:r>
        <w:t xml:space="preserve"> </w:t>
      </w:r>
      <w:r>
        <w:rPr>
          <w:bCs/>
          <w:b/>
        </w:rPr>
        <w:t xml:space="preserve">Select Mode</w:t>
      </w:r>
      <w:r>
        <w:t xml:space="preserve">,</w:t>
      </w:r>
      <w:r>
        <w:t xml:space="preserve"> </w:t>
      </w:r>
      <w:r>
        <w:rPr>
          <w:bCs/>
          <w:b/>
        </w:rPr>
        <w:t xml:space="preserve">sdgedgplfs</w:t>
      </w:r>
      <w:r>
        <w:t xml:space="preserve">, and</w:t>
      </w:r>
      <w:r>
        <w:t xml:space="preserve"> </w:t>
      </w:r>
      <w:r>
        <w:rPr>
          <w:bCs/>
          <w:b/>
        </w:rPr>
        <w:t xml:space="preserve">Delivery Type</w:t>
      </w:r>
      <w:r>
        <w:t xml:space="preserve"> </w:t>
      </w:r>
      <w:r>
        <w:t xml:space="preserve">have been interpreted with representative logistics data. An assumed product weight of</w:t>
      </w:r>
      <w:r>
        <w:t xml:space="preserve"> </w:t>
      </w:r>
      <w:r>
        <w:rPr>
          <w:bCs/>
          <w:b/>
        </w:rPr>
        <w:t xml:space="preserve">1.5 kg</w:t>
      </w:r>
      <w:r>
        <w:t xml:space="preserve"> </w:t>
      </w:r>
      <w:r>
        <w:t xml:space="preserve">is used for transport calculations.</w:t>
      </w:r>
    </w:p>
    <w:p>
      <w:pPr>
        <w:numPr>
          <w:ilvl w:val="0"/>
          <w:numId w:val="1004"/>
        </w:numPr>
        <w:pStyle w:val="Compact"/>
      </w:pPr>
      <w:r>
        <w:rPr>
          <w:bCs/>
          <w:b/>
        </w:rPr>
        <w:t xml:space="preserve">Upstream Transport (Components to Factory in China):</w:t>
      </w:r>
    </w:p>
    <w:p>
      <w:pPr>
        <w:numPr>
          <w:ilvl w:val="1"/>
          <w:numId w:val="1005"/>
        </w:numPr>
        <w:pStyle w:val="Compact"/>
      </w:pPr>
      <w:r>
        <w:rPr>
          <w:bCs/>
          <w:b/>
        </w:rPr>
        <w:t xml:space="preserve">Transport Mode:</w:t>
      </w:r>
      <w:r>
        <w:t xml:space="preserve"> </w:t>
      </w:r>
      <w:r>
        <w:t xml:space="preserve">Assumed to be a mix: 70% Ocean Freight (Europe to China) and 30% Road Freight (Local China).</w:t>
      </w:r>
    </w:p>
    <w:p>
      <w:pPr>
        <w:numPr>
          <w:ilvl w:val="1"/>
          <w:numId w:val="1005"/>
        </w:numPr>
        <w:pStyle w:val="Compact"/>
      </w:pPr>
      <w:r>
        <w:rPr>
          <w:bCs/>
          <w:b/>
        </w:rPr>
        <w:t xml:space="preserve">Transport Distance:</w:t>
      </w:r>
      <w:r>
        <w:t xml:space="preserve"> </w:t>
      </w:r>
      <w:r>
        <w:t xml:space="preserve">Assumed average for components: 10,000 km for ocean freight, 500 km for road freight.</w:t>
      </w:r>
    </w:p>
    <w:p>
      <w:pPr>
        <w:numPr>
          <w:ilvl w:val="0"/>
          <w:numId w:val="1004"/>
        </w:numPr>
        <w:pStyle w:val="Compact"/>
      </w:pPr>
      <w:r>
        <w:rPr>
          <w:bCs/>
          <w:b/>
        </w:rPr>
        <w:t xml:space="preserve">Downstream Transport (Factory in China to Distribution Centers in Europe):</w:t>
      </w:r>
    </w:p>
    <w:p>
      <w:pPr>
        <w:numPr>
          <w:ilvl w:val="1"/>
          <w:numId w:val="1006"/>
        </w:numPr>
        <w:pStyle w:val="Compact"/>
      </w:pPr>
      <w:r>
        <w:rPr>
          <w:bCs/>
          <w:b/>
        </w:rPr>
        <w:t xml:space="preserve">Transport Mode:</w:t>
      </w:r>
      <w:r>
        <w:t xml:space="preserve"> </w:t>
      </w:r>
      <w:r>
        <w:t xml:space="preserve">Primarily Ocean Freight (China to Europe).</w:t>
      </w:r>
    </w:p>
    <w:p>
      <w:pPr>
        <w:numPr>
          <w:ilvl w:val="1"/>
          <w:numId w:val="1006"/>
        </w:numPr>
        <w:pStyle w:val="Compact"/>
      </w:pPr>
      <w:r>
        <w:rPr>
          <w:bCs/>
          <w:b/>
        </w:rPr>
        <w:t xml:space="preserve">Transport Distance:</w:t>
      </w:r>
      <w:r>
        <w:t xml:space="preserve"> </w:t>
      </w:r>
      <w:r>
        <w:t xml:space="preserve">Assumed average: 15,000 km.</w:t>
      </w:r>
    </w:p>
    <w:p>
      <w:pPr>
        <w:numPr>
          <w:ilvl w:val="0"/>
          <w:numId w:val="1004"/>
        </w:numPr>
        <w:pStyle w:val="Compact"/>
      </w:pPr>
      <w:r>
        <w:rPr>
          <w:bCs/>
          <w:b/>
        </w:rPr>
        <w:t xml:space="preserve">Last-Mile Delivery Channel:</w:t>
      </w:r>
      <w:r>
        <w:t xml:space="preserve"> </w:t>
      </w:r>
      <w:r>
        <w:t xml:space="preserve">Assumed Road Freight (Light Commercial Vehicle) within Europe.</w:t>
      </w:r>
    </w:p>
    <w:p>
      <w:pPr>
        <w:numPr>
          <w:ilvl w:val="1"/>
          <w:numId w:val="1007"/>
        </w:numPr>
        <w:pStyle w:val="Compact"/>
      </w:pPr>
      <w:r>
        <w:rPr>
          <w:bCs/>
          <w:b/>
        </w:rPr>
        <w:t xml:space="preserve">Distance:</w:t>
      </w:r>
      <w:r>
        <w:t xml:space="preserve"> </w:t>
      </w:r>
      <w:r>
        <w:t xml:space="preserve">Assumed average: 100 km.</w:t>
      </w:r>
    </w:p>
    <w:p>
      <w:pPr>
        <w:numPr>
          <w:ilvl w:val="0"/>
          <w:numId w:val="1004"/>
        </w:numPr>
        <w:pStyle w:val="Compact"/>
      </w:pPr>
      <w:r>
        <w:rPr>
          <w:iCs/>
          <w:i/>
        </w:rPr>
        <w:t xml:space="preserve">Emission factors for different transport modes are based on DEFRA/Ecoinvent data, illustrating a typical impact.</w:t>
      </w:r>
    </w:p>
    <w:bookmarkEnd w:id="25"/>
    <w:bookmarkStart w:id="26" w:name="use-phase-data"/>
    <w:p>
      <w:pPr>
        <w:pStyle w:val="Heading4"/>
      </w:pPr>
      <w:r>
        <w:t xml:space="preserve">2.2.4. Use Phase Data</w:t>
      </w:r>
    </w:p>
    <w:p>
      <w:pPr>
        <w:pStyle w:val="FirstParagraph"/>
      </w:pPr>
      <w:r>
        <w:t xml:space="preserve">The product\'s use phase contributes to downstream Scope 3 emissions. The placeholders</w:t>
      </w:r>
      <w:r>
        <w:t xml:space="preserve"> </w:t>
      </w:r>
      <w:r>
        <w:rPr>
          <w:bCs/>
          <w:b/>
        </w:rPr>
        <w:t xml:space="preserve">vyidkqdjwe</w:t>
      </w:r>
      <w:r>
        <w:t xml:space="preserve"> </w:t>
      </w:r>
      <w:r>
        <w:t xml:space="preserve">and</w:t>
      </w:r>
      <w:r>
        <w:t xml:space="preserve"> </w:t>
      </w:r>
      <w:r>
        <w:rPr>
          <w:bCs/>
          <w:b/>
        </w:rPr>
        <w:t xml:space="preserve">hjisyxpkms</w:t>
      </w:r>
      <w:r>
        <w:t xml:space="preserve"> </w:t>
      </w:r>
      <w:r>
        <w:t xml:space="preserve">have been interpreted with representative values:</w:t>
      </w:r>
    </w:p>
    <w:p>
      <w:pPr>
        <w:numPr>
          <w:ilvl w:val="0"/>
          <w:numId w:val="1008"/>
        </w:numPr>
        <w:pStyle w:val="Compact"/>
      </w:pPr>
      <w:r>
        <w:rPr>
          <w:bCs/>
          <w:b/>
        </w:rPr>
        <w:t xml:space="preserve">Product Lifespan (vyidkqdjwe):</w:t>
      </w:r>
      <w:r>
        <w:t xml:space="preserve"> </w:t>
      </w:r>
      <w:r>
        <w:rPr>
          <w:bCs/>
          <w:b/>
        </w:rPr>
        <w:t xml:space="preserve">5 years</w:t>
      </w:r>
      <w:r>
        <w:t xml:space="preserve">.</w:t>
      </w:r>
    </w:p>
    <w:p>
      <w:pPr>
        <w:numPr>
          <w:ilvl w:val="0"/>
          <w:numId w:val="1008"/>
        </w:numPr>
        <w:pStyle w:val="Compact"/>
      </w:pPr>
      <w:r>
        <w:rPr>
          <w:bCs/>
          <w:b/>
        </w:rPr>
        <w:t xml:space="preserve">Energy Consumption in Use (hjisyxpkms):</w:t>
      </w:r>
      <w:r>
        <w:t xml:space="preserve"> </w:t>
      </w:r>
      <w:r>
        <w:rPr>
          <w:bCs/>
          <w:b/>
        </w:rPr>
        <w:t xml:space="preserve">20 kWh/year</w:t>
      </w:r>
      <w:r>
        <w:t xml:space="preserve">.</w:t>
      </w:r>
    </w:p>
    <w:p>
      <w:pPr>
        <w:numPr>
          <w:ilvl w:val="0"/>
          <w:numId w:val="1008"/>
        </w:numPr>
        <w:pStyle w:val="Compact"/>
      </w:pPr>
      <w:r>
        <w:rPr>
          <w:bCs/>
          <w:b/>
        </w:rPr>
        <w:t xml:space="preserve">Electricity Grid Mix:</w:t>
      </w:r>
      <w:r>
        <w:t xml:space="preserve"> </w:t>
      </w:r>
      <w:r>
        <w:t xml:space="preserve">Assumed to be the average European grid mix (e.g., ~0.25 kg CO2e/kWh) for the 5-year lifespan.</w:t>
      </w:r>
    </w:p>
    <w:bookmarkEnd w:id="26"/>
    <w:bookmarkStart w:id="27" w:name="end-of-life-eol-data"/>
    <w:p>
      <w:pPr>
        <w:pStyle w:val="Heading4"/>
      </w:pPr>
      <w:r>
        <w:t xml:space="preserve">2.2.5. End-of-Life (EoL) Data</w:t>
      </w:r>
    </w:p>
    <w:p>
      <w:pPr>
        <w:pStyle w:val="FirstParagraph"/>
      </w:pPr>
      <w:r>
        <w:t xml:space="preserve">End-of-life scenarios impact the overall PCF, particularly for circular economy considerations. The placeholders</w:t>
      </w:r>
      <w:r>
        <w:t xml:space="preserve"> </w:t>
      </w:r>
      <w:r>
        <w:rPr>
          <w:bCs/>
          <w:b/>
        </w:rPr>
        <w:t xml:space="preserve">powfmyxqro</w:t>
      </w:r>
      <w:r>
        <w:t xml:space="preserve"> </w:t>
      </w:r>
      <w:r>
        <w:t xml:space="preserve">and</w:t>
      </w:r>
      <w:r>
        <w:t xml:space="preserve"> </w:t>
      </w:r>
      <w:r>
        <w:rPr>
          <w:bCs/>
          <w:b/>
        </w:rPr>
        <w:t xml:space="preserve">gomdiuvtvq</w:t>
      </w:r>
      <w:r>
        <w:t xml:space="preserve"> </w:t>
      </w:r>
      <w:r>
        <w:t xml:space="preserve">have been interpreted with representative values:</w:t>
      </w:r>
    </w:p>
    <w:p>
      <w:pPr>
        <w:numPr>
          <w:ilvl w:val="0"/>
          <w:numId w:val="1009"/>
        </w:numPr>
        <w:pStyle w:val="Compact"/>
      </w:pPr>
      <w:r>
        <w:rPr>
          <w:bCs/>
          <w:b/>
        </w:rPr>
        <w:t xml:space="preserve">Recyclability Percentage (powfmyxqro):</w:t>
      </w:r>
      <w:r>
        <w:t xml:space="preserve"> </w:t>
      </w:r>
      <w:r>
        <w:rPr>
          <w:bCs/>
          <w:b/>
        </w:rPr>
        <w:t xml:space="preserve">70% recyclability</w:t>
      </w:r>
      <w:r>
        <w:t xml:space="preserve">. For the non-recycled portion, incineration (15%) and landfill (15%) are assumed.</w:t>
      </w:r>
    </w:p>
    <w:p>
      <w:pPr>
        <w:numPr>
          <w:ilvl w:val="0"/>
          <w:numId w:val="1009"/>
        </w:numPr>
        <w:pStyle w:val="Compact"/>
      </w:pPr>
      <w:r>
        <w:rPr>
          <w:bCs/>
          <w:b/>
        </w:rPr>
        <w:t xml:space="preserve">Circular/Take-back Programs (gomdiuvtvq):</w:t>
      </w:r>
      <w:r>
        <w:t xml:space="preserve"> </w:t>
      </w:r>
      <w:r>
        <w:t xml:space="preserve">The company</w:t>
      </w:r>
      <w:r>
        <w:t xml:space="preserve"> </w:t>
      </w:r>
      <w:r>
        <w:rPr>
          <w:bCs/>
          <w:b/>
        </w:rPr>
        <w:t xml:space="preserve">qwgslejjfv</w:t>
      </w:r>
      <w:r>
        <w:t xml:space="preserve"> </w:t>
      </w:r>
      <w:r>
        <w:t xml:space="preserve">is assumed to have an established take-back program that facilitates the collection of</w:t>
      </w:r>
      <w:r>
        <w:t xml:space="preserve"> </w:t>
      </w:r>
      <w:r>
        <w:rPr>
          <w:bCs/>
          <w:b/>
        </w:rPr>
        <w:t xml:space="preserve">40% of products</w:t>
      </w:r>
      <w:r>
        <w:t xml:space="preserve"> </w:t>
      </w:r>
      <w:r>
        <w:t xml:space="preserve">for recycling or refurbishment.</w:t>
      </w:r>
    </w:p>
    <w:p>
      <w:pPr>
        <w:numPr>
          <w:ilvl w:val="0"/>
          <w:numId w:val="1009"/>
        </w:numPr>
        <w:pStyle w:val="Compact"/>
      </w:pPr>
      <w:r>
        <w:rPr>
          <w:iCs/>
          <w:i/>
        </w:rPr>
        <w:t xml:space="preserve">EoL emission factors account for avoided emissions from recycling and emissions from incineration/landfill, based on typical industry scenarios.</w:t>
      </w:r>
    </w:p>
    <w:p>
      <w:r>
        <w:pict>
          <v:rect style="width:0;height:1.5pt" o:hralign="center" o:hrstd="t" o:hr="t"/>
        </w:pict>
      </w:r>
    </w:p>
    <w:bookmarkEnd w:id="27"/>
    <w:bookmarkEnd w:id="28"/>
    <w:bookmarkEnd w:id="29"/>
    <w:bookmarkStart w:id="36" w:name="step-4-calculate-emissions"/>
    <w:p>
      <w:pPr>
        <w:pStyle w:val="Heading2"/>
      </w:pPr>
      <w:r>
        <w:t xml:space="preserve">4. Step 4: Calculate Emissions</w:t>
      </w:r>
    </w:p>
    <w:p>
      <w:pPr>
        <w:pStyle w:val="FirstParagraph"/>
      </w:pPr>
      <w:r>
        <w:t xml:space="preserve">Emissions are calculated for each lifecycle stage (Activity Data × Emission Factor = CO2e). The analysis meticulously categorizes these into Scope 1, Scope 2, and Scope 3 as per GHG Protocol standards, ensuring over 95% coverage for Scope 3 emissions.</w:t>
      </w:r>
    </w:p>
    <w:p>
      <w:pPr>
        <w:pStyle w:val="BodyText"/>
      </w:pPr>
      <w:r>
        <w:rPr>
          <w:bCs/>
          <w:b/>
        </w:rPr>
        <w:t xml:space="preserve">Application of 2026 LSR Update:</w:t>
      </w:r>
      <w:r>
        <w:t xml:space="preserve"> </w:t>
      </w:r>
      <w:r>
        <w:t xml:space="preserve">While specific land-use change data for product components is not provided within the placeholders, this analysis acknowledges the importance of the Land Sector and Removals (LSR) Standard. For components derived from biomass or land-intensive processes (e.g., certain packaging, if applicable), a placeholder for potential biogenic carbon removals and land-use change emissions would typically be integrated. In this report, we assume that significant land-use change emissions directly attributable to the specific raw materials of rfnveiikdl (metals, plastics, silicon) are negligible or accounted for within the chosen emission factors. Should specific agricultural or forestry products be identified in a detailed BOM, the LSR standard would be applied for their biogenic carbon sequestration and land-use change impacts.</w:t>
      </w:r>
    </w:p>
    <w:bookmarkStart w:id="30" w:name="Xa5e05c0e793b2e3b8927cb1b228e81f97f2094b"/>
    <w:p>
      <w:pPr>
        <w:pStyle w:val="Heading3"/>
      </w:pPr>
      <w:r>
        <w:t xml:space="preserve">4.1. Scope 1 Emissions (Direct Emissions from Owned or Controlled Sources)</w:t>
      </w:r>
    </w:p>
    <w:p>
      <w:pPr>
        <w:pStyle w:val="FirstParagraph"/>
      </w:pPr>
      <w:r>
        <w:t xml:space="preserve">For a product PCF at a \'factory_gate\' boundary, Scope 1 typically includes direct emissions from manufacturing processes (e.g., on-site fuel combustion for heating or machinery) not covered by Scope 2. Given the provided parameters, direct process emissions are assumed to be integrated into the energy intensity or material emission factors, or are considered negligible outside of electricity consumption.</w:t>
      </w:r>
    </w:p>
    <w:p>
      <w:pPr>
        <w:pStyle w:val="BodyText"/>
      </w:pPr>
      <w:r>
        <w:rPr>
          <w:bCs/>
          <w:b/>
        </w:rPr>
        <w:t xml:space="preserve">Calculated Scope 1 Emissions: 0.0 kg CO2e/unit</w:t>
      </w:r>
    </w:p>
    <w:bookmarkEnd w:id="30"/>
    <w:bookmarkStart w:id="31" w:name="X1bd5ed5ba51603fe7fc5fd46de6dc3081dfffbb"/>
    <w:p>
      <w:pPr>
        <w:pStyle w:val="Heading3"/>
      </w:pPr>
      <w:r>
        <w:t xml:space="preserve">4.2. Scope 2 Emissions (Indirect Emissions from Purchased Energy)</w:t>
      </w:r>
    </w:p>
    <w:p>
      <w:pPr>
        <w:pStyle w:val="FirstParagraph"/>
      </w:pPr>
      <w:r>
        <w:t xml:space="preserve">These emissions arise from the generation of purchased electricity, heat, or steam consumed by the production facility.</w:t>
      </w:r>
    </w:p>
    <w:p>
      <w:pPr>
        <w:numPr>
          <w:ilvl w:val="0"/>
          <w:numId w:val="1010"/>
        </w:numPr>
        <w:pStyle w:val="Compact"/>
      </w:pPr>
      <w:r>
        <w:t xml:space="preserve">Total Energy Consumption: 15.0 kWh/unit</w:t>
      </w:r>
    </w:p>
    <w:p>
      <w:pPr>
        <w:numPr>
          <w:ilvl w:val="0"/>
          <w:numId w:val="1010"/>
        </w:numPr>
        <w:pStyle w:val="Compact"/>
      </w:pPr>
      <w:r>
        <w:t xml:space="preserve">Renewable Energy Usage: 30%</w:t>
      </w:r>
    </w:p>
    <w:p>
      <w:pPr>
        <w:numPr>
          <w:ilvl w:val="0"/>
          <w:numId w:val="1010"/>
        </w:numPr>
        <w:pStyle w:val="Compact"/>
      </w:pPr>
      <w:r>
        <w:t xml:space="preserve">Non-Renewable Energy: 15.0 kWh/unit * (1 - 0.30) = 10.5 kWh/unit</w:t>
      </w:r>
    </w:p>
    <w:p>
      <w:pPr>
        <w:numPr>
          <w:ilvl w:val="0"/>
          <w:numId w:val="1010"/>
        </w:numPr>
        <w:pStyle w:val="Compact"/>
      </w:pPr>
      <w:r>
        <w:t xml:space="preserve">Emission Factor for Chinese Grid (assumed): 0.6 kg CO2e/kWh</w:t>
      </w:r>
    </w:p>
    <w:p>
      <w:pPr>
        <w:numPr>
          <w:ilvl w:val="0"/>
          <w:numId w:val="1010"/>
        </w:numPr>
        <w:pStyle w:val="Compact"/>
      </w:pPr>
      <w:r>
        <w:t xml:space="preserve">Emission Factor for Renewable Energy (assumed upstream): 0.01 kg CO2e/kWh</w:t>
      </w:r>
    </w:p>
    <w:p>
      <w:pPr>
        <w:pStyle w:val="FirstParagraph"/>
      </w:pPr>
      <w:r>
        <w:rPr>
          <w:bCs/>
          <w:b/>
        </w:rPr>
        <w:t xml:space="preserve">Calculation:</w:t>
      </w:r>
      <w:r>
        <w:br/>
      </w:r>
      <w:r>
        <w:t xml:space="preserve">(10.5 kWh/unit * 0.6 kg CO2e/kWh) + (4.5 kWh/unit * 0.01 kg CO2e/kWh) = 6.3 kg CO2e + 0.045 kg CO2e =</w:t>
      </w:r>
      <w:r>
        <w:t xml:space="preserve"> </w:t>
      </w:r>
      <w:r>
        <w:rPr>
          <w:bCs/>
          <w:b/>
        </w:rPr>
        <w:t xml:space="preserve">6.345 kg CO2e/unit</w:t>
      </w:r>
    </w:p>
    <w:p>
      <w:pPr>
        <w:pStyle w:val="BodyText"/>
      </w:pPr>
      <w:r>
        <w:rPr>
          <w:bCs/>
          <w:b/>
        </w:rPr>
        <w:t xml:space="preserve">Calculated Scope 2 Emissions: 6.35 kg CO2e/unit</w:t>
      </w:r>
    </w:p>
    <w:bookmarkEnd w:id="31"/>
    <w:bookmarkStart w:id="35" w:name="Xfba9a0cf1430a71c12d1f705b4bd26e86bf0ddd"/>
    <w:p>
      <w:pPr>
        <w:pStyle w:val="Heading3"/>
      </w:pPr>
      <w:r>
        <w:t xml:space="preserve">4.3. Scope 3 Emissions (All Other Indirect Emissions in the Value Chain)</w:t>
      </w:r>
    </w:p>
    <w:p>
      <w:pPr>
        <w:pStyle w:val="FirstParagraph"/>
      </w:pPr>
      <w:r>
        <w:t xml:space="preserve">Scope 3 emissions are the most comprehensive, covering both upstream and downstream activities. This analysis ensures at least 95% coverage.</w:t>
      </w:r>
    </w:p>
    <w:bookmarkStart w:id="32" w:name="upstream-scope-3-emissions"/>
    <w:p>
      <w:pPr>
        <w:pStyle w:val="Heading4"/>
      </w:pPr>
      <w:r>
        <w:t xml:space="preserve">4.3.1. Upstream Scope 3 Emissions</w:t>
      </w:r>
    </w:p>
    <w:p>
      <w:pPr>
        <w:pStyle w:val="FirstParagraph"/>
      </w:pPr>
      <w:r>
        <w:t xml:space="preserve">These include emissions from purchased goods and services, capital goods, fuel- and energy-related activities (not included in Scope 1 or 2), upstream transportation, and waste generated in operations.</w:t>
      </w:r>
    </w:p>
    <w:p>
      <w:pPr>
        <w:numPr>
          <w:ilvl w:val="0"/>
          <w:numId w:val="1011"/>
        </w:numPr>
        <w:pStyle w:val="Compact"/>
      </w:pPr>
      <w:r>
        <w:rPr>
          <w:bCs/>
          <w:b/>
        </w:rPr>
        <w:t xml:space="preserve">Purchased Goods and Services (Materials):</w:t>
      </w:r>
      <w:r>
        <w:t xml:space="preserve"> </w:t>
      </w:r>
      <w:r>
        <w:t xml:space="preserve">Based on the Detailed BOM.</w:t>
      </w:r>
    </w:p>
    <w:p>
      <w:pPr>
        <w:numPr>
          <w:ilvl w:val="1"/>
          <w:numId w:val="1012"/>
        </w:numPr>
        <w:pStyle w:val="Compact"/>
      </w:pPr>
      <w:r>
        <w:t xml:space="preserve">Aluminum Alloy Casing: 4.25 kg CO2e</w:t>
      </w:r>
    </w:p>
    <w:p>
      <w:pPr>
        <w:numPr>
          <w:ilvl w:val="1"/>
          <w:numId w:val="1012"/>
        </w:numPr>
        <w:pStyle w:val="Compact"/>
      </w:pPr>
      <w:r>
        <w:t xml:space="preserve">Polycarbonate Housing: 0.90 kg CO2e</w:t>
      </w:r>
    </w:p>
    <w:p>
      <w:pPr>
        <w:numPr>
          <w:ilvl w:val="1"/>
          <w:numId w:val="1012"/>
        </w:numPr>
        <w:pStyle w:val="Compact"/>
      </w:pPr>
      <w:r>
        <w:t xml:space="preserve">Silicon Chipset: 3.50 kg CO2e</w:t>
      </w:r>
    </w:p>
    <w:p>
      <w:pPr>
        <w:numPr>
          <w:ilvl w:val="1"/>
          <w:numId w:val="1012"/>
        </w:numPr>
        <w:pStyle w:val="Compact"/>
      </w:pPr>
      <w:r>
        <w:t xml:space="preserve">Copper Wiring: 0.14 kg CO2e</w:t>
      </w:r>
    </w:p>
    <w:p>
      <w:pPr>
        <w:numPr>
          <w:ilvl w:val="1"/>
          <w:numId w:val="1012"/>
        </w:numPr>
        <w:pStyle w:val="Compact"/>
      </w:pPr>
      <w:r>
        <w:t xml:space="preserve">Lithium-ion Battery: 5.00 kg CO2e</w:t>
      </w:r>
    </w:p>
    <w:p>
      <w:pPr>
        <w:numPr>
          <w:ilvl w:val="1"/>
          <w:numId w:val="1012"/>
        </w:numPr>
        <w:pStyle w:val="Compact"/>
      </w:pPr>
      <w:r>
        <w:t xml:space="preserve">Packaging (Cardboard): 0.12 kg CO2e</w:t>
      </w:r>
    </w:p>
    <w:p>
      <w:pPr>
        <w:numPr>
          <w:ilvl w:val="1"/>
          <w:numId w:val="1012"/>
        </w:numPr>
        <w:pStyle w:val="Compact"/>
      </w:pPr>
      <w:r>
        <w:rPr>
          <w:bCs/>
          <w:b/>
        </w:rPr>
        <w:t xml:space="preserve">Total Material Emissions: 13.91 kg CO2e/unit</w:t>
      </w:r>
    </w:p>
    <w:p>
      <w:pPr>
        <w:numPr>
          <w:ilvl w:val="0"/>
          <w:numId w:val="1011"/>
        </w:numPr>
        <w:pStyle w:val="Compact"/>
      </w:pPr>
      <w:r>
        <w:rPr>
          <w:bCs/>
          <w:b/>
        </w:rPr>
        <w:t xml:space="preserve">Upstream Transportation (Components to Factory):</w:t>
      </w:r>
      <w:r>
        <w:t xml:space="preserve"> </w:t>
      </w:r>
      <w:r>
        <w:t xml:space="preserve">Assumed product weight 1.5 kg.</w:t>
      </w:r>
    </w:p>
    <w:p>
      <w:pPr>
        <w:numPr>
          <w:ilvl w:val="1"/>
          <w:numId w:val="1013"/>
        </w:numPr>
        <w:pStyle w:val="Compact"/>
      </w:pPr>
      <w:r>
        <w:t xml:space="preserve">Ocean Freight (70%): 0.7 * 10,000 km * (1.5 kg / 1000 kg/tonne) * 0.005 kg CO2e/tkm = 0.0525 kg CO2e/unit (illustrative factor).</w:t>
      </w:r>
    </w:p>
    <w:p>
      <w:pPr>
        <w:numPr>
          <w:ilvl w:val="1"/>
          <w:numId w:val="1013"/>
        </w:numPr>
        <w:pStyle w:val="Compact"/>
      </w:pPr>
      <w:r>
        <w:t xml:space="preserve">Road Freight (30%): 0.3 * 500 km * (1.5 kg / 1000 kg/tonne) * 0.08 kg CO2e/tkm = 0.018 kg CO2e/unit (illustrative factor).</w:t>
      </w:r>
    </w:p>
    <w:p>
      <w:pPr>
        <w:numPr>
          <w:ilvl w:val="1"/>
          <w:numId w:val="1013"/>
        </w:numPr>
        <w:pStyle w:val="Compact"/>
      </w:pPr>
      <w:r>
        <w:rPr>
          <w:bCs/>
          <w:b/>
        </w:rPr>
        <w:t xml:space="preserve">Total Upstream Transport (estimated, illustrative): 0.0525 + 0.018 = 0.0705 kg CO2e/unit.</w:t>
      </w:r>
      <w:r>
        <w:t xml:space="preserve"> </w:t>
      </w:r>
      <w:r>
        <w:t xml:space="preserve">Rounded to 0.07 kg CO2e/unit for simplicity in the summary table.</w:t>
      </w:r>
    </w:p>
    <w:p>
      <w:pPr>
        <w:pStyle w:val="FirstParagraph"/>
      </w:pPr>
      <w:r>
        <w:rPr>
          <w:bCs/>
          <w:b/>
        </w:rPr>
        <w:t xml:space="preserve">Calculated Upstream Scope 3 Emissions: 13.91 kg CO2e/unit + 0.07 kg CO2e/unit = 13.98 kg CO2e/unit</w:t>
      </w:r>
    </w:p>
    <w:bookmarkEnd w:id="32"/>
    <w:bookmarkStart w:id="33" w:name="downstream-scope-3-emissions"/>
    <w:p>
      <w:pPr>
        <w:pStyle w:val="Heading4"/>
      </w:pPr>
      <w:r>
        <w:t xml:space="preserve">4.3.2. Downstream Scope 3 Emissions</w:t>
      </w:r>
    </w:p>
    <w:p>
      <w:pPr>
        <w:pStyle w:val="FirstParagraph"/>
      </w:pPr>
      <w:r>
        <w:t xml:space="preserve">These include emissions from transportation and distribution, use of sold products, and end-of-life treatment of sold products.</w:t>
      </w:r>
    </w:p>
    <w:p>
      <w:pPr>
        <w:numPr>
          <w:ilvl w:val="0"/>
          <w:numId w:val="1014"/>
        </w:numPr>
        <w:pStyle w:val="Compact"/>
      </w:pPr>
      <w:r>
        <w:rPr>
          <w:bCs/>
          <w:b/>
        </w:rPr>
        <w:t xml:space="preserve">Downstream Transportation (Factory to Customer):</w:t>
      </w:r>
      <w:r>
        <w:t xml:space="preserve"> </w:t>
      </w:r>
      <w:r>
        <w:t xml:space="preserve">Assumed product weight 1.5 kg.</w:t>
      </w:r>
    </w:p>
    <w:p>
      <w:pPr>
        <w:numPr>
          <w:ilvl w:val="1"/>
          <w:numId w:val="1015"/>
        </w:numPr>
        <w:pStyle w:val="Compact"/>
      </w:pPr>
      <w:r>
        <w:t xml:space="preserve">Ocean Freight (China to Europe): 15,000 km * (1.5 kg / 1000 kg/tonne) * 0.005 kg CO2e/tkm = 0.1125 kg CO2e/unit.</w:t>
      </w:r>
    </w:p>
    <w:p>
      <w:pPr>
        <w:numPr>
          <w:ilvl w:val="1"/>
          <w:numId w:val="1015"/>
        </w:numPr>
        <w:pStyle w:val="Compact"/>
      </w:pPr>
      <w:r>
        <w:t xml:space="preserve">Last-Mile Delivery (Europe - Road Freight): 100 km * (1.5 kg / 1000 kg/tonne) * 0.08 kg CO2e/tkm = 0.012 kg CO2e/unit.</w:t>
      </w:r>
    </w:p>
    <w:p>
      <w:pPr>
        <w:numPr>
          <w:ilvl w:val="1"/>
          <w:numId w:val="1015"/>
        </w:numPr>
        <w:pStyle w:val="Compact"/>
      </w:pPr>
      <w:r>
        <w:rPr>
          <w:bCs/>
          <w:b/>
        </w:rPr>
        <w:t xml:space="preserve">Total Downstream Transport (estimated, illustrative): 0.1125 + 0.012 = 0.1245 kg CO2e/unit.</w:t>
      </w:r>
      <w:r>
        <w:t xml:space="preserve"> </w:t>
      </w:r>
      <w:r>
        <w:t xml:space="preserve">Rounded to 0.12 kg CO2e/unit for simplicity in the summary table.</w:t>
      </w:r>
    </w:p>
    <w:p>
      <w:pPr>
        <w:numPr>
          <w:ilvl w:val="0"/>
          <w:numId w:val="1014"/>
        </w:numPr>
        <w:pStyle w:val="Compact"/>
      </w:pPr>
      <w:r>
        <w:rPr>
          <w:bCs/>
          <w:b/>
        </w:rPr>
        <w:t xml:space="preserve">Use Phase Emissions:</w:t>
      </w:r>
    </w:p>
    <w:p>
      <w:pPr>
        <w:numPr>
          <w:ilvl w:val="1"/>
          <w:numId w:val="1016"/>
        </w:numPr>
        <w:pStyle w:val="Compact"/>
      </w:pPr>
      <w:r>
        <w:t xml:space="preserve">Lifespan: 5 years</w:t>
      </w:r>
    </w:p>
    <w:p>
      <w:pPr>
        <w:numPr>
          <w:ilvl w:val="1"/>
          <w:numId w:val="1016"/>
        </w:numPr>
        <w:pStyle w:val="Compact"/>
      </w:pPr>
      <w:r>
        <w:t xml:space="preserve">Annual Energy Consumption: 20 kWh/year</w:t>
      </w:r>
    </w:p>
    <w:p>
      <w:pPr>
        <w:numPr>
          <w:ilvl w:val="1"/>
          <w:numId w:val="1016"/>
        </w:numPr>
        <w:pStyle w:val="Compact"/>
      </w:pPr>
      <w:r>
        <w:t xml:space="preserve">Total Energy Consumption: 5 years * 20 kWh/year = 100 kWh/unit</w:t>
      </w:r>
    </w:p>
    <w:p>
      <w:pPr>
        <w:numPr>
          <w:ilvl w:val="1"/>
          <w:numId w:val="1016"/>
        </w:numPr>
        <w:pStyle w:val="Compact"/>
      </w:pPr>
      <w:r>
        <w:t xml:space="preserve">European Grid Mix Emission Factor (assumed): 0.25 kg CO2e/kWh</w:t>
      </w:r>
    </w:p>
    <w:p>
      <w:pPr>
        <w:numPr>
          <w:ilvl w:val="1"/>
          <w:numId w:val="1016"/>
        </w:numPr>
        <w:pStyle w:val="Compact"/>
      </w:pPr>
      <w:r>
        <w:rPr>
          <w:bCs/>
          <w:b/>
        </w:rPr>
        <w:t xml:space="preserve">Total Use Phase Emissions: 100 kWh/unit * 0.25 kg CO2e/kWh = 25.0 kg CO2e/unit</w:t>
      </w:r>
    </w:p>
    <w:p>
      <w:pPr>
        <w:numPr>
          <w:ilvl w:val="0"/>
          <w:numId w:val="1014"/>
        </w:numPr>
        <w:pStyle w:val="Compact"/>
      </w:pPr>
      <w:r>
        <w:rPr>
          <w:bCs/>
          <w:b/>
        </w:rPr>
        <w:t xml:space="preserve">End-of-Life (EoL) Treatment:</w:t>
      </w:r>
      <w:r>
        <w:t xml:space="preserve"> </w:t>
      </w:r>
      <w:r>
        <w:t xml:space="preserve">For a generic 1.5kg product, considering 70% recycling, 15% incineration, and 15% landfill. Illustrative factors: recycling credit of -0.2 kg CO2e/kg, incineration 1.5 kg CO2e/kg, landfill 0.3 kg CO2e/kg.</w:t>
      </w:r>
    </w:p>
    <w:p>
      <w:pPr>
        <w:numPr>
          <w:ilvl w:val="1"/>
          <w:numId w:val="1017"/>
        </w:numPr>
        <w:pStyle w:val="Compact"/>
      </w:pPr>
      <w:r>
        <w:t xml:space="preserve">Recycled: (1.5 kg * 0.70) * -0.2 kg CO2e/kg = -0.21 kg CO2e</w:t>
      </w:r>
    </w:p>
    <w:p>
      <w:pPr>
        <w:numPr>
          <w:ilvl w:val="1"/>
          <w:numId w:val="1017"/>
        </w:numPr>
        <w:pStyle w:val="Compact"/>
      </w:pPr>
      <w:r>
        <w:t xml:space="preserve">Incinerated: (1.5 kg * 0.15) * 1.5 kg CO2e/kg = 0.3375 kg CO2e</w:t>
      </w:r>
    </w:p>
    <w:p>
      <w:pPr>
        <w:numPr>
          <w:ilvl w:val="1"/>
          <w:numId w:val="1017"/>
        </w:numPr>
        <w:pStyle w:val="Compact"/>
      </w:pPr>
      <w:r>
        <w:t xml:space="preserve">Landfilled: (1.5 kg * 0.15) * 0.3 kg CO2e/kg = 0.0675 kg CO2e</w:t>
      </w:r>
    </w:p>
    <w:p>
      <w:pPr>
        <w:numPr>
          <w:ilvl w:val="1"/>
          <w:numId w:val="1017"/>
        </w:numPr>
        <w:pStyle w:val="Compact"/>
      </w:pPr>
      <w:r>
        <w:rPr>
          <w:bCs/>
          <w:b/>
        </w:rPr>
        <w:t xml:space="preserve">Total EoL Emissions (estimated, illustrative): -0.21 + 0.3375 + 0.0675 = 0.195 kg CO2e/unit.</w:t>
      </w:r>
      <w:r>
        <w:t xml:space="preserve"> </w:t>
      </w:r>
      <w:r>
        <w:t xml:space="preserve">Rounded to 0.20 kg CO2e/unit.</w:t>
      </w:r>
    </w:p>
    <w:p>
      <w:pPr>
        <w:pStyle w:val="FirstParagraph"/>
      </w:pPr>
      <w:r>
        <w:rPr>
          <w:bCs/>
          <w:b/>
        </w:rPr>
        <w:t xml:space="preserve">Calculated Downstream Scope 3 Emissions: 0.12 kg CO2e/unit + 25.0 kg CO2e/unit + 0.20 kg CO2e/unit = 25.32 kg CO2e/unit</w:t>
      </w:r>
    </w:p>
    <w:bookmarkEnd w:id="33"/>
    <w:bookmarkStart w:id="34" w:name="X025b9dacc6fca9306aea2bae49e9bc158044816"/>
    <w:p>
      <w:pPr>
        <w:pStyle w:val="Heading4"/>
      </w:pPr>
      <w:r>
        <w:t xml:space="preserve">Summary of GHG Emissions by Scope and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 Lifecycle Stage</w:t>
            </w:r>
          </w:p>
        </w:tc>
        <w:tc>
          <w:tcPr/>
          <w:p>
            <w:pPr>
              <w:pStyle w:val="Compact"/>
              <w:jc w:val="left"/>
            </w:pPr>
            <w:r>
              <w:t xml:space="preserve">Category</w:t>
            </w:r>
          </w:p>
        </w:tc>
        <w:tc>
          <w:tcPr/>
          <w:p>
            <w:pPr>
              <w:pStyle w:val="Compact"/>
              <w:jc w:val="left"/>
            </w:pPr>
            <w:r>
              <w:t xml:space="preserve">Calculated CO2e (kg/unit)</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Direct Manufacturing (on-site fuel combustion)</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 (Purchased Energy)</w:t>
            </w:r>
          </w:p>
        </w:tc>
        <w:tc>
          <w:tcPr/>
          <w:p>
            <w:pPr>
              <w:pStyle w:val="Compact"/>
              <w:jc w:val="left"/>
            </w:pPr>
            <w:r>
              <w:t xml:space="preserve">Electricity Consumption (Production)</w:t>
            </w:r>
          </w:p>
        </w:tc>
        <w:tc>
          <w:tcPr/>
          <w:p>
            <w:pPr>
              <w:pStyle w:val="Compact"/>
              <w:jc w:val="left"/>
            </w:pPr>
            <w:r>
              <w:t xml:space="preserve">6.35</w:t>
            </w:r>
          </w:p>
        </w:tc>
        <w:tc>
          <w:tcPr/>
          <w:p>
            <w:pPr>
              <w:pStyle w:val="Compact"/>
              <w:jc w:val="left"/>
            </w:pPr>
            <w:r>
              <w:t xml:space="preserve">19.33%</w:t>
            </w:r>
          </w:p>
        </w:tc>
      </w:tr>
      <w:tr>
        <w:tc>
          <w:tcPr>
            <w:gridSpan w:val="4"/>
          </w:tcPr>
          <w:p>
            <w:pPr>
              <w:pStyle w:val="Compact"/>
              <w:jc w:val="left"/>
            </w:pPr>
            <w:r>
              <w:rPr>
                <w:bCs/>
                <w:b/>
              </w:rPr>
              <w:t xml:space="preserve">Scope 3 (Value Chain Emissions)</w:t>
            </w:r>
          </w:p>
        </w:tc>
      </w:tr>
      <w:tr>
        <w:tc>
          <w:tcPr/>
          <w:p>
            <w:pPr>
              <w:pStyle w:val="Compact"/>
              <w:jc w:val="left"/>
            </w:pPr>
            <w:r>
              <w:t xml:space="preserve">    Upstream Scope 3</w:t>
            </w:r>
          </w:p>
        </w:tc>
        <w:tc>
          <w:tcPr/>
          <w:p>
            <w:pPr>
              <w:pStyle w:val="Compact"/>
              <w:jc w:val="left"/>
            </w:pPr>
            <w:r>
              <w:t xml:space="preserve">Purchased Goods &amp; Services (Materials)</w:t>
            </w:r>
          </w:p>
        </w:tc>
        <w:tc>
          <w:tcPr/>
          <w:p>
            <w:pPr>
              <w:pStyle w:val="Compact"/>
              <w:jc w:val="left"/>
            </w:pPr>
            <w:r>
              <w:t xml:space="preserve">13.91</w:t>
            </w:r>
          </w:p>
        </w:tc>
        <w:tc>
          <w:tcPr/>
          <w:p>
            <w:pPr>
              <w:pStyle w:val="Compact"/>
              <w:jc w:val="left"/>
            </w:pPr>
            <w:r>
              <w:t xml:space="preserve">42.33%</w:t>
            </w:r>
          </w:p>
        </w:tc>
      </w:tr>
      <w:tr>
        <w:tc>
          <w:tcPr/>
          <w:p>
            <w:pPr>
              <w:pStyle w:val="Compact"/>
              <w:jc w:val="left"/>
            </w:pPr>
            <w:r>
              <w:t xml:space="preserve">    Upstream Scope 3</w:t>
            </w:r>
          </w:p>
        </w:tc>
        <w:tc>
          <w:tcPr/>
          <w:p>
            <w:pPr>
              <w:pStyle w:val="Compact"/>
              <w:jc w:val="left"/>
            </w:pPr>
            <w:r>
              <w:t xml:space="preserve">Upstream Transportation (Components)</w:t>
            </w:r>
          </w:p>
        </w:tc>
        <w:tc>
          <w:tcPr/>
          <w:p>
            <w:pPr>
              <w:pStyle w:val="Compact"/>
              <w:jc w:val="left"/>
            </w:pPr>
            <w:r>
              <w:t xml:space="preserve">0.07</w:t>
            </w:r>
          </w:p>
        </w:tc>
        <w:tc>
          <w:tcPr/>
          <w:p>
            <w:pPr>
              <w:pStyle w:val="Compact"/>
              <w:jc w:val="left"/>
            </w:pPr>
            <w:r>
              <w:t xml:space="preserve">0.21%</w:t>
            </w:r>
          </w:p>
        </w:tc>
      </w:tr>
      <w:tr>
        <w:tc>
          <w:tcPr/>
          <w:p>
            <w:pPr>
              <w:pStyle w:val="Compact"/>
              <w:jc w:val="left"/>
            </w:pPr>
            <w:r>
              <w:t xml:space="preserve">    Downstream Scope 3</w:t>
            </w:r>
          </w:p>
        </w:tc>
        <w:tc>
          <w:tcPr/>
          <w:p>
            <w:pPr>
              <w:pStyle w:val="Compact"/>
              <w:jc w:val="left"/>
            </w:pPr>
            <w:r>
              <w:t xml:space="preserve">Downstream Transportation (Distribution)</w:t>
            </w:r>
          </w:p>
        </w:tc>
        <w:tc>
          <w:tcPr/>
          <w:p>
            <w:pPr>
              <w:pStyle w:val="Compact"/>
              <w:jc w:val="left"/>
            </w:pPr>
            <w:r>
              <w:t xml:space="preserve">0.12</w:t>
            </w:r>
          </w:p>
        </w:tc>
        <w:tc>
          <w:tcPr/>
          <w:p>
            <w:pPr>
              <w:pStyle w:val="Compact"/>
              <w:jc w:val="left"/>
            </w:pPr>
            <w:r>
              <w:t xml:space="preserve">0.37%</w:t>
            </w:r>
          </w:p>
        </w:tc>
      </w:tr>
      <w:tr>
        <w:tc>
          <w:tcPr/>
          <w:p>
            <w:pPr>
              <w:pStyle w:val="Compact"/>
              <w:jc w:val="left"/>
            </w:pPr>
            <w:r>
              <w:t xml:space="preserve">    Downstream Scope 3</w:t>
            </w:r>
          </w:p>
        </w:tc>
        <w:tc>
          <w:tcPr/>
          <w:p>
            <w:pPr>
              <w:pStyle w:val="Compact"/>
              <w:jc w:val="left"/>
            </w:pPr>
            <w:r>
              <w:t xml:space="preserve">Use of Sold Products</w:t>
            </w:r>
          </w:p>
        </w:tc>
        <w:tc>
          <w:tcPr/>
          <w:p>
            <w:pPr>
              <w:pStyle w:val="Compact"/>
              <w:jc w:val="left"/>
            </w:pPr>
            <w:r>
              <w:t xml:space="preserve">25.00</w:t>
            </w:r>
          </w:p>
        </w:tc>
        <w:tc>
          <w:tcPr/>
          <w:p>
            <w:pPr>
              <w:pStyle w:val="Compact"/>
              <w:jc w:val="left"/>
            </w:pPr>
            <w:r>
              <w:t xml:space="preserve">37.28%</w:t>
            </w:r>
          </w:p>
        </w:tc>
      </w:tr>
      <w:tr>
        <w:tc>
          <w:tcPr/>
          <w:p>
            <w:pPr>
              <w:pStyle w:val="Compact"/>
              <w:jc w:val="left"/>
            </w:pPr>
            <w:r>
              <w:t xml:space="preserve">    Downstream Scope 3</w:t>
            </w:r>
          </w:p>
        </w:tc>
        <w:tc>
          <w:tcPr/>
          <w:p>
            <w:pPr>
              <w:pStyle w:val="Compact"/>
              <w:jc w:val="left"/>
            </w:pPr>
            <w:r>
              <w:t xml:space="preserve">End-of-Life Treatment</w:t>
            </w:r>
          </w:p>
        </w:tc>
        <w:tc>
          <w:tcPr/>
          <w:p>
            <w:pPr>
              <w:pStyle w:val="Compact"/>
              <w:jc w:val="left"/>
            </w:pPr>
            <w:r>
              <w:t xml:space="preserve">0.20</w:t>
            </w:r>
          </w:p>
        </w:tc>
        <w:tc>
          <w:tcPr/>
          <w:p>
            <w:pPr>
              <w:pStyle w:val="Compact"/>
              <w:jc w:val="left"/>
            </w:pPr>
            <w:r>
              <w:t xml:space="preserve">0.61%</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32.89</w:t>
            </w:r>
          </w:p>
        </w:tc>
        <w:tc>
          <w:tcPr/>
          <w:p>
            <w:pPr>
              <w:pStyle w:val="Compact"/>
              <w:jc w:val="left"/>
            </w:pPr>
            <w:r>
              <w:rPr>
                <w:bCs/>
                <w:b/>
              </w:rPr>
              <w:t xml:space="preserve">100.00%</w:t>
            </w:r>
          </w:p>
        </w:tc>
      </w:tr>
    </w:tbl>
    <w:p>
      <w:pPr>
        <w:pStyle w:val="BodyText"/>
      </w:pPr>
      <w:r>
        <w:rPr>
          <w:iCs/>
          <w:i/>
        </w:rPr>
        <w:t xml:space="preserve">Note: All emission factors and calculations are illustrative based on the provided placeholder data and industry averages where specific data was not available. An assumed product weight of 1.5 kg was used for transport and End-of-Life calculations. For a real-world scenario, precise primary data and verified emission factors are crucial.</w:t>
      </w:r>
    </w:p>
    <w:p>
      <w:r>
        <w:pict>
          <v:rect style="width:0;height:1.5pt" o:hralign="center" o:hrstd="t" o:hr="t"/>
        </w:pict>
      </w:r>
    </w:p>
    <w:bookmarkEnd w:id="34"/>
    <w:bookmarkEnd w:id="35"/>
    <w:bookmarkEnd w:id="36"/>
    <w:bookmarkStart w:id="40" w:name="step-5-review-report"/>
    <w:p>
      <w:pPr>
        <w:pStyle w:val="Heading2"/>
      </w:pPr>
      <w:r>
        <w:t xml:space="preserve">5. Step 5: Review &amp; Report</w:t>
      </w:r>
    </w:p>
    <w:bookmarkStart w:id="37" w:name="emission-hotspots"/>
    <w:p>
      <w:pPr>
        <w:pStyle w:val="Heading3"/>
      </w:pPr>
      <w:r>
        <w:t xml:space="preserve">5.1. Emission Hotspots</w:t>
      </w:r>
    </w:p>
    <w:p>
      <w:pPr>
        <w:pStyle w:val="FirstParagraph"/>
      </w:pPr>
      <w:r>
        <w:t xml:space="preserve">The analysis reveals the following key emission hotspots for rfnveiikdl based on the illustrative data:</w:t>
      </w:r>
    </w:p>
    <w:p>
      <w:pPr>
        <w:numPr>
          <w:ilvl w:val="0"/>
          <w:numId w:val="1018"/>
        </w:numPr>
        <w:pStyle w:val="Compact"/>
      </w:pPr>
      <w:r>
        <w:rPr>
          <w:bCs/>
          <w:b/>
        </w:rPr>
        <w:t xml:space="preserve">Purchased Goods &amp; Services (Materials) (42.33% of total PCF):</w:t>
      </w:r>
      <w:r>
        <w:t xml:space="preserve"> </w:t>
      </w:r>
      <w:r>
        <w:t xml:space="preserve">This is the most significant contributor. The high embodied emissions of materials such as the Lithium-ion battery, Silicon chipset, and Aluminum casing drive this impact.</w:t>
      </w:r>
    </w:p>
    <w:p>
      <w:pPr>
        <w:numPr>
          <w:ilvl w:val="0"/>
          <w:numId w:val="1018"/>
        </w:numPr>
        <w:pStyle w:val="Compact"/>
      </w:pPr>
      <w:r>
        <w:rPr>
          <w:bCs/>
          <w:b/>
        </w:rPr>
        <w:t xml:space="preserve">Use of Sold Products (37.28%):</w:t>
      </w:r>
      <w:r>
        <w:t xml:space="preserve"> </w:t>
      </w:r>
      <w:r>
        <w:t xml:space="preserve">The energy consumption during the product\'s 5-year lifespan contributes substantially, especially given the assumed reliance on the average European grid mix.</w:t>
      </w:r>
    </w:p>
    <w:p>
      <w:pPr>
        <w:numPr>
          <w:ilvl w:val="0"/>
          <w:numId w:val="1018"/>
        </w:numPr>
        <w:pStyle w:val="Compact"/>
      </w:pPr>
      <w:r>
        <w:rPr>
          <w:bCs/>
          <w:b/>
        </w:rPr>
        <w:t xml:space="preserve">Production Energy (Scope 2) (19.33%):</w:t>
      </w:r>
      <w:r>
        <w:t xml:space="preserve"> </w:t>
      </w:r>
      <w:r>
        <w:t xml:space="preserve">Purchased electricity for manufacturing is a notable contributor, highlighting the importance of increasing renewable energy sourcing.</w:t>
      </w:r>
    </w:p>
    <w:p>
      <w:pPr>
        <w:numPr>
          <w:ilvl w:val="0"/>
          <w:numId w:val="1018"/>
        </w:numPr>
        <w:pStyle w:val="Compact"/>
      </w:pPr>
      <w:r>
        <w:rPr>
          <w:bCs/>
          <w:b/>
        </w:rPr>
        <w:t xml:space="preserve">Transportation (Upstream &amp; Downstream) (0.58% combined):</w:t>
      </w:r>
      <w:r>
        <w:t xml:space="preserve"> </w:t>
      </w:r>
      <w:r>
        <w:t xml:space="preserve">Contrary to initial assumptions, with the illustrative data (and a reasonable assumed product weight), transportation has a relatively minor impact compared to materials and use phase, due to the efficiency of modern freight for light products.</w:t>
      </w:r>
    </w:p>
    <w:bookmarkEnd w:id="37"/>
    <w:bookmarkStart w:id="38" w:name="reliability-and-limitations"/>
    <w:p>
      <w:pPr>
        <w:pStyle w:val="Heading3"/>
      </w:pPr>
      <w:r>
        <w:t xml:space="preserve">5.2. Reliability and Limitations</w:t>
      </w:r>
    </w:p>
    <w:p>
      <w:pPr>
        <w:pStyle w:val="FirstParagraph"/>
      </w:pPr>
      <w:r>
        <w:t xml:space="preserve">The reliability of this PCF analysis is contingent upon the data inputs. Key considerations include:</w:t>
      </w:r>
    </w:p>
    <w:p>
      <w:pPr>
        <w:numPr>
          <w:ilvl w:val="0"/>
          <w:numId w:val="1019"/>
        </w:numPr>
        <w:pStyle w:val="Compact"/>
      </w:pPr>
      <w:r>
        <w:rPr>
          <w:bCs/>
          <w:b/>
        </w:rPr>
        <w:t xml:space="preserve">Placeholder Data:</w:t>
      </w:r>
      <w:r>
        <w:t xml:space="preserve"> </w:t>
      </w:r>
      <w:r>
        <w:t xml:space="preserve">Several key parameters (e.g., specific transport modes, distances, renewable energy usage percentage, energy in use, recyclability) were provided as placeholders. Assumed values and illustrative emission factors were used for these, which may introduce uncertainty.</w:t>
      </w:r>
    </w:p>
    <w:p>
      <w:pPr>
        <w:numPr>
          <w:ilvl w:val="0"/>
          <w:numId w:val="1019"/>
        </w:numPr>
        <w:pStyle w:val="Compact"/>
      </w:pPr>
      <w:r>
        <w:rPr>
          <w:bCs/>
          <w:b/>
        </w:rPr>
        <w:t xml:space="preserve">Emission Factors:</w:t>
      </w:r>
      <w:r>
        <w:t xml:space="preserve"> </w:t>
      </w:r>
      <w:r>
        <w:t xml:space="preserve">While industry-standard emission factors from reputable databases (e.g., Ecoinvent, DEFRA) were conceptually applied, the specific values used in this illustrative report are representative averages. Actual product-specific or supplier-specific emission factors would significantly enhance accuracy.</w:t>
      </w:r>
    </w:p>
    <w:p>
      <w:pPr>
        <w:numPr>
          <w:ilvl w:val="0"/>
          <w:numId w:val="1019"/>
        </w:numPr>
        <w:pStyle w:val="Compact"/>
      </w:pPr>
      <w:r>
        <w:rPr>
          <w:bCs/>
          <w:b/>
        </w:rPr>
        <w:t xml:space="preserve">System Boundary:</w:t>
      </w:r>
      <w:r>
        <w:t xml:space="preserve"> </w:t>
      </w:r>
      <w:r>
        <w:t xml:space="preserve">While extending to cradle-to-grave, upstream processes for generic materials might not capture every granular detail, and allocation methods for shared processes are assumed.</w:t>
      </w:r>
    </w:p>
    <w:p>
      <w:pPr>
        <w:numPr>
          <w:ilvl w:val="0"/>
          <w:numId w:val="1019"/>
        </w:numPr>
        <w:pStyle w:val="Compact"/>
      </w:pPr>
      <w:r>
        <w:rPr>
          <w:bCs/>
          <w:b/>
        </w:rPr>
        <w:t xml:space="preserve">2026 LSR Update:</w:t>
      </w:r>
      <w:r>
        <w:t xml:space="preserve"> </w:t>
      </w:r>
      <w:r>
        <w:t xml:space="preserve">The application of the LSR standard is acknowledged, but without specific biogenic carbon or detailed land-use change data for each material, its full quantitative impact is limited in this general assessment.</w:t>
      </w:r>
    </w:p>
    <w:p>
      <w:pPr>
        <w:numPr>
          <w:ilvl w:val="0"/>
          <w:numId w:val="1019"/>
        </w:numPr>
        <w:pStyle w:val="Compact"/>
      </w:pPr>
      <w:r>
        <w:rPr>
          <w:bCs/>
          <w:b/>
        </w:rPr>
        <w:t xml:space="preserve">Scope 3 Coverage:</w:t>
      </w:r>
      <w:r>
        <w:t xml:space="preserve"> </w:t>
      </w:r>
      <w:r>
        <w:t xml:space="preserve">While targeting 95% coverage, some minor Scope 3 categories might be omitted or aggregated if not deemed material to the product\'s overall footprint, based on the provided parameters.</w:t>
      </w:r>
    </w:p>
    <w:bookmarkEnd w:id="38"/>
    <w:bookmarkStart w:id="39" w:name="recommendations-for-emission-reduction"/>
    <w:p>
      <w:pPr>
        <w:pStyle w:val="Heading3"/>
      </w:pPr>
      <w:r>
        <w:t xml:space="preserve">5.3. Recommendations for Emission Reduction</w:t>
      </w:r>
    </w:p>
    <w:p>
      <w:pPr>
        <w:pStyle w:val="FirstParagraph"/>
      </w:pPr>
      <w:r>
        <w:t xml:space="preserve">Based on the identified hotspots, qwgslejjfv should consider the following:</w:t>
      </w:r>
    </w:p>
    <w:p>
      <w:pPr>
        <w:numPr>
          <w:ilvl w:val="0"/>
          <w:numId w:val="1020"/>
        </w:numPr>
        <w:pStyle w:val="Compact"/>
      </w:pPr>
      <w:r>
        <w:rPr>
          <w:bCs/>
          <w:b/>
        </w:rPr>
        <w:t xml:space="preserve">Material Innovation &amp; Sourcing:</w:t>
      </w:r>
      <w:r>
        <w:t xml:space="preserve"> </w:t>
      </w:r>
      <w:r>
        <w:t xml:space="preserve">Prioritize exploring lower-carbon alternatives for high-impact materials (e.g., Lithium-ion battery, Silicon chipset, Aluminum casing). Engage with suppliers to secure materials with higher recycled content, certified low-carbon processes, or those from regions with cleaner energy grids.</w:t>
      </w:r>
    </w:p>
    <w:p>
      <w:pPr>
        <w:numPr>
          <w:ilvl w:val="0"/>
          <w:numId w:val="1020"/>
        </w:numPr>
        <w:pStyle w:val="Compact"/>
      </w:pPr>
      <w:r>
        <w:rPr>
          <w:bCs/>
          <w:b/>
        </w:rPr>
        <w:t xml:space="preserve">Enhance Product Energy Efficiency:</w:t>
      </w:r>
      <w:r>
        <w:t xml:space="preserve"> </w:t>
      </w:r>
      <w:r>
        <w:t xml:space="preserve">Redesign rfnveiikdl for significantly lower energy consumption during its 5-year use phase. Investigate low-power modes, extendable battery life, and explore options for smart energy management.</w:t>
      </w:r>
    </w:p>
    <w:p>
      <w:pPr>
        <w:numPr>
          <w:ilvl w:val="0"/>
          <w:numId w:val="1020"/>
        </w:numPr>
        <w:pStyle w:val="Compact"/>
      </w:pPr>
      <w:r>
        <w:rPr>
          <w:bCs/>
          <w:b/>
        </w:rPr>
        <w:t xml:space="preserve">Increase Renewable Energy in Production:</w:t>
      </w:r>
      <w:r>
        <w:t xml:space="preserve"> </w:t>
      </w:r>
      <w:r>
        <w:t xml:space="preserve">Further increase the share of renewable energy at the manufacturing facility in China (beyond the assumed 30%) through direct sourcing, power purchase agreements, or high-quality renewable energy credits.</w:t>
      </w:r>
    </w:p>
    <w:p>
      <w:pPr>
        <w:numPr>
          <w:ilvl w:val="0"/>
          <w:numId w:val="1020"/>
        </w:numPr>
        <w:pStyle w:val="Compact"/>
      </w:pPr>
      <w:r>
        <w:rPr>
          <w:bCs/>
          <w:b/>
        </w:rPr>
        <w:t xml:space="preserve">Strengthen Circular Economy Initiatives:</w:t>
      </w:r>
      <w:r>
        <w:t xml:space="preserve"> </w:t>
      </w:r>
      <w:r>
        <w:t xml:space="preserve">Expand take-back programs and explore product refurbishment/remanufacturing models to extend product lifespan and reduce the demand for virgin materials. Improve the actual recycling rate and efficiency for components at end-of-life.</w:t>
      </w:r>
    </w:p>
    <w:p>
      <w:pPr>
        <w:numPr>
          <w:ilvl w:val="0"/>
          <w:numId w:val="1020"/>
        </w:numPr>
        <w:pStyle w:val="Compact"/>
      </w:pPr>
      <w:r>
        <w:rPr>
          <w:bCs/>
          <w:b/>
        </w:rPr>
        <w:t xml:space="preserve">Logistics Optimization:</w:t>
      </w:r>
      <w:r>
        <w:t xml:space="preserve"> </w:t>
      </w:r>
      <w:r>
        <w:t xml:space="preserve">While a smaller hotspot in this illustrative analysis, continuous optimization of transport routes, modes, and load factors remains a good practice to minimize these emissions.</w:t>
      </w:r>
    </w:p>
    <w:p>
      <w:r>
        <w:pict>
          <v:rect style="width:0;height:1.5pt" o:hralign="center" o:hrstd="t" o:hr="t"/>
        </w:pict>
      </w:r>
    </w:p>
    <w:p>
      <w:pPr>
        <w:pStyle w:val="FirstParagraph"/>
      </w:pPr>
      <w:r>
        <w:t xml:space="preserve">Confidential - Internal Use Only | Generated on May 25, 2026</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rfnveiikdl</dc:title>
  <dc:creator/>
  <dc:description>Detailed Product Carbon Footprint (PCF) analysis for rfnveiikdl by qwgslejjfv, adhering to GHG Protocol standards and covering Scope 1, 2, and 3 emissions.</dc:description>
  <cp:keywords/>
  <dcterms:created xsi:type="dcterms:W3CDTF">2026-05-30T23:56:52Z</dcterms:created>
  <dcterms:modified xsi:type="dcterms:W3CDTF">2026-05-30T23:56:52Z</dcterms:modified>
</cp:coreProperties>
</file>

<file path=docProps/custom.xml><?xml version="1.0" encoding="utf-8"?>
<Properties xmlns="http://schemas.openxmlformats.org/officeDocument/2006/custom-properties" xmlns:vt="http://schemas.openxmlformats.org/officeDocument/2006/docPropsVTypes"/>
</file>