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</w:t>
      </w:r>
      <w:r>
        <w:t xml:space="preserve"> </w:t>
      </w: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retlshetnq</w:t>
      </w:r>
      <w:r>
        <w:t xml:space="preserve"> </w:t>
      </w:r>
      <w:r>
        <w:t xml:space="preserve">-</w:t>
      </w:r>
      <w:r>
        <w:t xml:space="preserve"> </w:t>
      </w:r>
      <w:r>
        <w:t xml:space="preserve">mhoiyundfi</w:t>
      </w:r>
    </w:p>
    <w:p>
      <w:pPr>
        <w:pStyle w:val="FirstParagraph"/>
      </w:pPr>
      <w:r>
        <w:t xml:space="preserve">carboncalcpcf.com</w:t>
      </w:r>
    </w:p>
    <w:bookmarkStart w:id="20" w:name="product-carbon-footprint-analysis-report"/>
    <w:p>
      <w:pPr>
        <w:pStyle w:val="Heading1"/>
      </w:pPr>
      <w:r>
        <w:t xml:space="preserve">Product Carbon Footprint Analysis Report</w:t>
      </w:r>
    </w:p>
    <w:p>
      <w:pPr>
        <w:pStyle w:val="FirstParagraph"/>
      </w:pPr>
      <w:r>
        <w:t xml:space="preserve">For:</w:t>
      </w:r>
      <w:r>
        <w:t xml:space="preserve"> </w:t>
      </w:r>
      <w:r>
        <w:rPr>
          <w:bCs/>
          <w:b/>
        </w:rPr>
        <w:t xml:space="preserve">retlshetnq</w:t>
      </w:r>
    </w:p>
    <w:p>
      <w:pPr>
        <w:pStyle w:val="BodyText"/>
      </w:pPr>
      <w:r>
        <w:rPr>
          <w:bCs/>
          <w:b/>
        </w:rPr>
        <w:t xml:space="preserve">Company:</w:t>
      </w:r>
      <w:r>
        <w:t xml:space="preserve"> </w:t>
      </w:r>
      <w:r>
        <w:t xml:space="preserve">mhoiyundfi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syzxkpmlrr</w:t>
      </w:r>
    </w:p>
    <w:p>
      <w:pPr>
        <w:pStyle w:val="BodyTex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</w:t>
      </w:r>
    </w:p>
    <w:p>
      <w:pPr>
        <w:pStyle w:val="BodyText"/>
      </w:pPr>
      <w:r>
        <w:t xml:space="preserve">Disclaimer: This report is generated based on available data and industry standards.</w:t>
      </w:r>
      <w:r>
        <w:t xml:space="preserve"> </w:t>
      </w:r>
      <w:r>
        <w:t xml:space="preserve">While every effort has been made to ensure accuracy, actual emissions may vary</w:t>
      </w:r>
      <w:r>
        <w:t xml:space="preserve"> </w:t>
      </w:r>
      <w:r>
        <w:t xml:space="preserve">due to specific operational nuances and evolving data availability.</w:t>
      </w:r>
    </w:p>
    <w:bookmarkEnd w:id="20"/>
    <w:bookmarkStart w:id="48" w:name="X66fa2979c39a5d49e8d00ff2e6563b9f022282f"/>
    <w:p>
      <w:pPr>
        <w:pStyle w:val="Heading1"/>
      </w:pPr>
      <w:r>
        <w:t xml:space="preserve">Product Carbon Footprint Analysis Report for retlshetnq</w:t>
      </w:r>
    </w:p>
    <w:p>
      <w:pPr>
        <w:pStyle w:val="FirstParagraph"/>
      </w:pPr>
      <w:r>
        <w:rPr>
          <w:bCs/>
          <w:b/>
        </w:rPr>
        <w:t xml:space="preserve">Generated Date:</w:t>
      </w:r>
      <w:r>
        <w:t xml:space="preserve"> </w:t>
      </w:r>
      <w:r>
        <w:t xml:space="preserve">May 25, 2026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syzxkpmlrr</w:t>
      </w:r>
    </w:p>
    <w:p>
      <w:r>
        <w:pict>
          <v:rect style="width:0;height:1.5pt" o:hralign="center" o:hrstd="t" o:hr="t"/>
        </w:pict>
      </w:r>
    </w:p>
    <w:bookmarkStart w:id="21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report presents a high-detail Product Carbon Footprint (PCF) analysis for the product</w:t>
      </w:r>
      <w:r>
        <w:t xml:space="preserve"> </w:t>
      </w:r>
      <w:r>
        <w:rPr>
          <w:bCs/>
          <w:b/>
        </w:rPr>
        <w:t xml:space="preserve">retlshetnq</w:t>
      </w:r>
      <w:r>
        <w:t xml:space="preserve"> </w:t>
      </w:r>
      <w:r>
        <w:t xml:space="preserve">manufactured by</w:t>
      </w:r>
      <w:r>
        <w:t xml:space="preserve"> </w:t>
      </w:r>
      <w:r>
        <w:rPr>
          <w:bCs/>
          <w:b/>
        </w:rPr>
        <w:t xml:space="preserve">mhoiyundfi</w:t>
      </w:r>
      <w:r>
        <w:t xml:space="preserve">. The analysis adheres strictly to</w:t>
      </w:r>
      <w:r>
        <w:t xml:space="preserve"> </w:t>
      </w:r>
      <w:r>
        <w:t xml:space="preserve">the GHG Protocol accounting standard, incorporating the latest 2026 updates, including the</w:t>
      </w:r>
      <w:r>
        <w:t xml:space="preserve"> </w:t>
      </w:r>
      <w:r>
        <w:t xml:space="preserve">Land Sector and Removals (LSR) Standard and the enhanced Scope 3 reporting requirements</w:t>
      </w:r>
      <w:r>
        <w:t xml:space="preserve"> </w:t>
      </w:r>
      <w:r>
        <w:t xml:space="preserve">mandating at least 95% coverage. The objective is to quantify the greenhouse gas (GHG)</w:t>
      </w:r>
      <w:r>
        <w:t xml:space="preserve"> </w:t>
      </w:r>
      <w:r>
        <w:t xml:space="preserve">emissions associated with</w:t>
      </w:r>
      <w:r>
        <w:t xml:space="preserve"> </w:t>
      </w:r>
      <w:r>
        <w:rPr>
          <w:bCs/>
          <w:b/>
        </w:rPr>
        <w:t xml:space="preserve">retlshetnq</w:t>
      </w:r>
      <w:r>
        <w:t xml:space="preserve"> </w:t>
      </w:r>
      <w:r>
        <w:t xml:space="preserve">across its lifecycle, from raw material</w:t>
      </w:r>
      <w:r>
        <w:t xml:space="preserve"> </w:t>
      </w:r>
      <w:r>
        <w:t xml:space="preserve">acquisition through end-of-life, to identify key emission hotspots and inform</w:t>
      </w:r>
      <w:r>
        <w:t xml:space="preserve"> </w:t>
      </w:r>
      <w:r>
        <w:t xml:space="preserve">strategic sustainability initiatives.</w:t>
      </w:r>
    </w:p>
    <w:p>
      <w:r>
        <w:pict>
          <v:rect style="width:0;height:1.5pt" o:hralign="center" o:hrstd="t" o:hr="t"/>
        </w:pict>
      </w:r>
    </w:p>
    <w:bookmarkEnd w:id="21"/>
    <w:bookmarkStart w:id="27" w:name="methodology-and-scope-definition"/>
    <w:p>
      <w:pPr>
        <w:pStyle w:val="Heading2"/>
      </w:pPr>
      <w:r>
        <w:t xml:space="preserve">1. Methodology and Scope Definition</w:t>
      </w:r>
    </w:p>
    <w:p>
      <w:pPr>
        <w:pStyle w:val="FirstParagraph"/>
      </w:pPr>
      <w:r>
        <w:t xml:space="preserve">The Product Carbon Footprint (PCF) for</w:t>
      </w:r>
      <w:r>
        <w:t xml:space="preserve"> </w:t>
      </w:r>
      <w:r>
        <w:rPr>
          <w:bCs/>
          <w:b/>
        </w:rPr>
        <w:t xml:space="preserve">retlshetnq</w:t>
      </w:r>
      <w:r>
        <w:t xml:space="preserve"> </w:t>
      </w:r>
      <w:r>
        <w:t xml:space="preserve">has been calculated</w:t>
      </w:r>
      <w:r>
        <w:t xml:space="preserve"> </w:t>
      </w:r>
      <w:r>
        <w:t xml:space="preserve">following the five-step methodology prescribed by the GHG Protocol: Define Scope, Map</w:t>
      </w:r>
      <w:r>
        <w:t xml:space="preserve"> </w:t>
      </w:r>
      <w:r>
        <w:t xml:space="preserve">Lifecycle, Collect Data, Calculate Emissions, and Review &amp; Report.</w:t>
      </w:r>
    </w:p>
    <w:bookmarkStart w:id="22" w:name="functional-unit"/>
    <w:p>
      <w:pPr>
        <w:pStyle w:val="Heading3"/>
      </w:pPr>
      <w:r>
        <w:t xml:space="preserve">1.1. Functional Unit</w:t>
      </w:r>
    </w:p>
    <w:p>
      <w:pPr>
        <w:numPr>
          <w:ilvl w:val="0"/>
          <w:numId w:val="1001"/>
        </w:numPr>
        <w:pStyle w:val="Compact"/>
      </w:pPr>
      <w:r>
        <w:t xml:space="preserve">The functional unit for this PCF analysis is</w:t>
      </w:r>
      <w:r>
        <w:t xml:space="preserve"> </w:t>
      </w:r>
      <w:r>
        <w:rPr>
          <w:bCs/>
          <w:b/>
        </w:rPr>
        <w:t xml:space="preserve">1.0 unit of retlshetnq</w:t>
      </w:r>
      <w:r>
        <w:t xml:space="preserve">.</w:t>
      </w:r>
    </w:p>
    <w:bookmarkEnd w:id="22"/>
    <w:bookmarkStart w:id="23" w:name="system-boundary"/>
    <w:p>
      <w:pPr>
        <w:pStyle w:val="Heading3"/>
      </w:pPr>
      <w:r>
        <w:t xml:space="preserve">1.2. System Boundary</w:t>
      </w:r>
    </w:p>
    <w:p>
      <w:pPr>
        <w:numPr>
          <w:ilvl w:val="0"/>
          <w:numId w:val="1002"/>
        </w:numPr>
        <w:pStyle w:val="Compact"/>
      </w:pPr>
      <w:r>
        <w:t xml:space="preserve">The system boundary for this analysis is "factory-gate plus downstream" including all</w:t>
      </w:r>
      <w:r>
        <w:t xml:space="preserve"> </w:t>
      </w:r>
      <w:r>
        <w:t xml:space="preserve">relevant stages from raw material extraction (cradle) up to the end-of-life of the product.</w:t>
      </w:r>
      <w:r>
        <w:t xml:space="preserve"> </w:t>
      </w:r>
      <w:r>
        <w:t xml:space="preserve">This encompasses:</w:t>
      </w:r>
    </w:p>
    <w:p>
      <w:pPr>
        <w:numPr>
          <w:ilvl w:val="1"/>
          <w:numId w:val="1003"/>
        </w:numPr>
        <w:pStyle w:val="Compact"/>
      </w:pPr>
      <w:r>
        <w:t xml:space="preserve">Materials Acquisition &amp; Pre-processing</w:t>
      </w:r>
    </w:p>
    <w:p>
      <w:pPr>
        <w:numPr>
          <w:ilvl w:val="1"/>
          <w:numId w:val="1003"/>
        </w:numPr>
        <w:pStyle w:val="Compact"/>
      </w:pPr>
      <w:r>
        <w:t xml:space="preserve">Manufacturing (including assembly and packaging)</w:t>
      </w:r>
    </w:p>
    <w:p>
      <w:pPr>
        <w:numPr>
          <w:ilvl w:val="1"/>
          <w:numId w:val="1003"/>
        </w:numPr>
        <w:pStyle w:val="Compact"/>
      </w:pPr>
      <w:r>
        <w:t xml:space="preserve">Transport (inbound logistics, distribution to customer, and last-mile delivery)</w:t>
      </w:r>
    </w:p>
    <w:p>
      <w:pPr>
        <w:numPr>
          <w:ilvl w:val="1"/>
          <w:numId w:val="1003"/>
        </w:numPr>
        <w:pStyle w:val="Compact"/>
      </w:pPr>
      <w:r>
        <w:t xml:space="preserve">Use Phase by the consumer</w:t>
      </w:r>
    </w:p>
    <w:p>
      <w:pPr>
        <w:numPr>
          <w:ilvl w:val="1"/>
          <w:numId w:val="1003"/>
        </w:numPr>
        <w:pStyle w:val="Compact"/>
      </w:pPr>
      <w:r>
        <w:t xml:space="preserve">End-of-Life treatment of the product</w:t>
      </w:r>
    </w:p>
    <w:bookmarkEnd w:id="23"/>
    <w:bookmarkStart w:id="24" w:name="geographic-scope"/>
    <w:p>
      <w:pPr>
        <w:pStyle w:val="Heading3"/>
      </w:pPr>
      <w:r>
        <w:t xml:space="preserve">1.3. Geographic Scope</w:t>
      </w:r>
    </w:p>
    <w:p>
      <w:pPr>
        <w:numPr>
          <w:ilvl w:val="0"/>
          <w:numId w:val="1004"/>
        </w:numPr>
        <w:pStyle w:val="Compact"/>
      </w:pPr>
      <w:r>
        <w:t xml:space="preserve">The primary geographic scope for final production is</w:t>
      </w:r>
      <w:r>
        <w:t xml:space="preserve"> </w:t>
      </w:r>
      <w:r>
        <w:rPr>
          <w:bCs/>
          <w:b/>
        </w:rPr>
        <w:t xml:space="preserve">China</w:t>
      </w:r>
      <w:r>
        <w:t xml:space="preserve">.</w:t>
      </w:r>
      <w:r>
        <w:t xml:space="preserve"> </w:t>
      </w:r>
      <w:r>
        <w:t xml:space="preserve">The supply chain focus is predominantly</w:t>
      </w:r>
      <w:r>
        <w:t xml:space="preserve"> </w:t>
      </w:r>
      <w:r>
        <w:rPr>
          <w:bCs/>
          <w:b/>
        </w:rPr>
        <w:t xml:space="preserve">Europe Focused</w:t>
      </w:r>
      <w:r>
        <w:t xml:space="preserve">,</w:t>
      </w:r>
      <w:r>
        <w:t xml:space="preserve"> </w:t>
      </w:r>
      <w:r>
        <w:t xml:space="preserve">implying that upstream material and component sourcing, as well as some</w:t>
      </w:r>
      <w:r>
        <w:t xml:space="preserve"> </w:t>
      </w:r>
      <w:r>
        <w:t xml:space="preserve">transportation routes, originate from or pass through Europe. The use phase</w:t>
      </w:r>
      <w:r>
        <w:t xml:space="preserve"> </w:t>
      </w:r>
      <w:r>
        <w:t xml:space="preserve">and end-of-life scenarios consider a global average, with an emphasis on regions</w:t>
      </w:r>
      <w:r>
        <w:t xml:space="preserve"> </w:t>
      </w:r>
      <w:r>
        <w:t xml:space="preserve">consistent with the product\'s market.</w:t>
      </w:r>
    </w:p>
    <w:bookmarkEnd w:id="24"/>
    <w:bookmarkStart w:id="25" w:name="allocation"/>
    <w:p>
      <w:pPr>
        <w:pStyle w:val="Heading3"/>
      </w:pPr>
      <w:r>
        <w:t xml:space="preserve">1.4. Allocation</w:t>
      </w:r>
    </w:p>
    <w:p>
      <w:pPr>
        <w:numPr>
          <w:ilvl w:val="0"/>
          <w:numId w:val="1005"/>
        </w:numPr>
        <w:pStyle w:val="Compact"/>
      </w:pPr>
      <w:r>
        <w:t xml:space="preserve">Emissions have been allocated to the functional unit based on mass where</w:t>
      </w:r>
      <w:r>
        <w:t xml:space="preserve"> </w:t>
      </w:r>
      <w:r>
        <w:t xml:space="preserve">co-production or recycling systems are involved, consistent with GHG Protocol</w:t>
      </w:r>
      <w:r>
        <w:t xml:space="preserve"> </w:t>
      </w:r>
      <w:r>
        <w:t xml:space="preserve">guidance. For shared transportation, allocation is based on mass-distance.</w:t>
      </w:r>
    </w:p>
    <w:bookmarkEnd w:id="25"/>
    <w:bookmarkStart w:id="26" w:name="accounting-standard"/>
    <w:p>
      <w:pPr>
        <w:pStyle w:val="Heading3"/>
      </w:pPr>
      <w:r>
        <w:t xml:space="preserve">1.5. Accounting Standard</w:t>
      </w:r>
    </w:p>
    <w:p>
      <w:pPr>
        <w:numPr>
          <w:ilvl w:val="0"/>
          <w:numId w:val="1006"/>
        </w:numPr>
        <w:pStyle w:val="Compact"/>
      </w:pPr>
      <w:r>
        <w:t xml:space="preserve">This PCF analysis strictly adheres to the</w:t>
      </w:r>
      <w:r>
        <w:t xml:space="preserve"> </w:t>
      </w:r>
      <w:r>
        <w:rPr>
          <w:bCs/>
          <w:b/>
        </w:rPr>
        <w:t xml:space="preserve">GHG Protocol Corporate</w:t>
      </w:r>
      <w:r>
        <w:rPr>
          <w:bCs/>
          <w:b/>
        </w:rPr>
        <w:t xml:space="preserve"> </w:t>
      </w:r>
      <w:r>
        <w:rPr>
          <w:bCs/>
          <w:b/>
        </w:rPr>
        <w:t xml:space="preserve">Accounting and Reporting Standard</w:t>
      </w:r>
      <w:r>
        <w:t xml:space="preserve"> </w:t>
      </w:r>
      <w:r>
        <w:t xml:space="preserve">and the</w:t>
      </w:r>
      <w:r>
        <w:t xml:space="preserve"> </w:t>
      </w:r>
      <w:r>
        <w:rPr>
          <w:bCs/>
          <w:b/>
        </w:rPr>
        <w:t xml:space="preserve">Corporate Value Chain</w:t>
      </w:r>
      <w:r>
        <w:rPr>
          <w:bCs/>
          <w:b/>
        </w:rPr>
        <w:t xml:space="preserve"> </w:t>
      </w:r>
      <w:r>
        <w:rPr>
          <w:bCs/>
          <w:b/>
        </w:rPr>
        <w:t xml:space="preserve">(Scope 3) Accounting and Reporting Standard</w:t>
      </w:r>
      <w:r>
        <w:t xml:space="preserve">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2026 LSR Update:</w:t>
      </w:r>
      <w:r>
        <w:t xml:space="preserve"> </w:t>
      </w:r>
      <w:r>
        <w:t xml:space="preserve">The analysis applies principles from the</w:t>
      </w:r>
      <w:r>
        <w:t xml:space="preserve"> </w:t>
      </w:r>
      <w:r>
        <w:t xml:space="preserve">GHG Protocol\'s newly released Land Sector and Removals (LSR) Standard. This</w:t>
      </w:r>
      <w:r>
        <w:t xml:space="preserve"> </w:t>
      </w:r>
      <w:r>
        <w:t xml:space="preserve">standard, effective January 1, 2027, provides requirements for accounting and</w:t>
      </w:r>
      <w:r>
        <w:t xml:space="preserve"> </w:t>
      </w:r>
      <w:r>
        <w:t xml:space="preserve">reporting land emissions and CO₂ removals. While specific land-use changes</w:t>
      </w:r>
      <w:r>
        <w:t xml:space="preserve"> </w:t>
      </w:r>
      <w:r>
        <w:t xml:space="preserve">are not detailed in the provided parameters, the framework for assessing</w:t>
      </w:r>
      <w:r>
        <w:t xml:space="preserve"> </w:t>
      </w:r>
      <w:r>
        <w:t xml:space="preserve">and integrating such impacts in future iterations is established.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Scope 3 Compliance:</w:t>
      </w:r>
      <w:r>
        <w:t xml:space="preserve"> </w:t>
      </w:r>
      <w:r>
        <w:t xml:space="preserve">In line with the 2026 revisions to the</w:t>
      </w:r>
      <w:r>
        <w:t xml:space="preserve"> </w:t>
      </w:r>
      <w:r>
        <w:t xml:space="preserve">GHG Protocol Scope 3 Standard, this report aims for at least 95% coverage</w:t>
      </w:r>
      <w:r>
        <w:t xml:space="preserve"> </w:t>
      </w:r>
      <w:r>
        <w:t xml:space="preserve">of total relevant Scope 3 emissions to ensure conformance.</w:t>
      </w:r>
      <w:r>
        <w:t xml:space="preserve"> </w:t>
      </w:r>
      <w:r>
        <w:t xml:space="preserve">Data disaggregation by source type (primary vs. secondary) has been prioritized</w:t>
      </w:r>
      <w:r>
        <w:t xml:space="preserve"> </w:t>
      </w:r>
      <w:r>
        <w:t xml:space="preserve">where possible to enhance data quality and transparency.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33" w:name="X2bf58de29a7a901ba932b9a6a779f7f86e80a1b"/>
    <w:p>
      <w:pPr>
        <w:pStyle w:val="Heading2"/>
      </w:pPr>
      <w:r>
        <w:t xml:space="preserve">2. &amp; 3. Lifecycle Mapping and Data Collection (LCI Inventory)</w:t>
      </w:r>
    </w:p>
    <w:p>
      <w:pPr>
        <w:pStyle w:val="FirstParagraph"/>
      </w:pPr>
      <w:r>
        <w:t xml:space="preserve">This section details the inputs and processes across the lifecycle of</w:t>
      </w:r>
      <w:r>
        <w:t xml:space="preserve"> </w:t>
      </w:r>
      <w:r>
        <w:rPr>
          <w:bCs/>
          <w:b/>
        </w:rPr>
        <w:t xml:space="preserve">retlshetnq</w:t>
      </w:r>
      <w:r>
        <w:t xml:space="preserve">,</w:t>
      </w:r>
      <w:r>
        <w:t xml:space="preserve"> </w:t>
      </w:r>
      <w:r>
        <w:t xml:space="preserve">drawing upon the provided parameters and utilizing industry-standard emission factors.</w:t>
      </w:r>
      <w:r>
        <w:t xml:space="preserve"> </w:t>
      </w:r>
      <w:r>
        <w:t xml:space="preserve">Data points are categorized by lifecycle stage.</w:t>
      </w:r>
    </w:p>
    <w:bookmarkStart w:id="28" w:name="X082bbfefd9e80f7c8fd38a3de2a91d3f93853a1"/>
    <w:p>
      <w:pPr>
        <w:pStyle w:val="Heading3"/>
      </w:pPr>
      <w:r>
        <w:t xml:space="preserve">2.1. Materials Acquisition &amp; Pre-processing (Raw Materials - Scope 3, Category 1)</w:t>
      </w:r>
    </w:p>
    <w:p>
      <w:pPr>
        <w:pStyle w:val="FirstParagraph"/>
      </w:pPr>
      <w:r>
        <w:t xml:space="preserve">The following Bill of Materials (BOM), provided as</w:t>
      </w:r>
      <w:r>
        <w:t xml:space="preserve"> </w:t>
      </w:r>
      <w:r>
        <w:rPr>
          <w:bCs/>
          <w:b/>
        </w:rPr>
        <w:t xml:space="preserve">wizlwwjk</w:t>
      </w:r>
      <w:r>
        <w:t xml:space="preserve">, has been</w:t>
      </w:r>
      <w:r>
        <w:t xml:space="preserve"> </w:t>
      </w:r>
      <w:r>
        <w:t xml:space="preserve">used to calculate the material impact. The Total Carbon values are directly incorporated</w:t>
      </w:r>
      <w:r>
        <w:t xml:space="preserve"> </w:t>
      </w:r>
      <w:r>
        <w:t xml:space="preserve">or recalculated using the provided Emission Factors.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Quantity (Qty)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 CO2e/unit)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 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Steel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Forming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ABS Plastic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Polymer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Copper Wire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Drawing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0.40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 PCB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Assembly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 Cardboard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Paper/Board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Converting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0.24</w:t>
            </w:r>
          </w:p>
        </w:tc>
      </w:tr>
    </w:tbl>
    <w:p>
      <w:pPr>
        <w:pStyle w:val="BodyText"/>
      </w:pPr>
      <w:r>
        <w:t xml:space="preserve">Total raw material emissions (based on provided BOM Total Carbon):</w:t>
      </w:r>
      <w:r>
        <w:t xml:space="preserve"> </w:t>
      </w:r>
      <w:r>
        <w:rPr>
          <w:bCs/>
          <w:b/>
        </w:rPr>
        <w:t xml:space="preserve">12.49 kg CO2e</w:t>
      </w:r>
      <w:r>
        <w:t xml:space="preserve">.</w:t>
      </w:r>
    </w:p>
    <w:bookmarkEnd w:id="28"/>
    <w:bookmarkStart w:id="29" w:name="Xbc11770f3cbc3ae7603f804db62305f6471163f"/>
    <w:p>
      <w:pPr>
        <w:pStyle w:val="Heading3"/>
      </w:pPr>
      <w:r>
        <w:t xml:space="preserve">2.2. Manufacturing (Production Phase - Scope 1 &amp; 2)</w:t>
      </w:r>
    </w:p>
    <w:p>
      <w:pPr>
        <w:pStyle w:val="FirstParagraph"/>
      </w:pPr>
      <w:r>
        <w:t xml:space="preserve">This phase covers the energy consumption during the manufacturing process of</w:t>
      </w:r>
      <w:r>
        <w:t xml:space="preserve"> </w:t>
      </w:r>
      <w:r>
        <w:rPr>
          <w:bCs/>
          <w:b/>
        </w:rPr>
        <w:t xml:space="preserve">retlshetnq</w:t>
      </w:r>
      <w:r>
        <w:t xml:space="preserve"> </w:t>
      </w:r>
      <w:r>
        <w:t xml:space="preserve">in China.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Energy Intensity (kWh/unit):</w:t>
      </w:r>
      <w:r>
        <w:t xml:space="preserve"> </w:t>
      </w:r>
      <w:r>
        <w:t xml:space="preserve">ogppzzeskl (assumed 50 kWh/unit)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Renewable Energy Usage:</w:t>
      </w:r>
      <w:r>
        <w:t xml:space="preserve"> </w:t>
      </w:r>
      <w:r>
        <w:t xml:space="preserve">nsqktykytx (assumed 30% or 0.3)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Non-renewable Energy Consumption:</w:t>
      </w:r>
      <w:r>
        <w:t xml:space="preserve"> </w:t>
      </w:r>
      <w:r>
        <w:t xml:space="preserve">50 kWh/unit * (1 - 0.3) = 35 kWh/unit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Electricity Grid Emission Factor (China):</w:t>
      </w:r>
      <w:r>
        <w:t xml:space="preserve"> </w:t>
      </w:r>
      <w:r>
        <w:t xml:space="preserve">0.60 kg CO2e/kWh (representative average)</w:t>
      </w:r>
    </w:p>
    <w:bookmarkEnd w:id="29"/>
    <w:bookmarkStart w:id="30" w:name="Xceb32bed7c7f3eefd969e1da8692229d0b48e00"/>
    <w:p>
      <w:pPr>
        <w:pStyle w:val="Heading3"/>
      </w:pPr>
      <w:r>
        <w:t xml:space="preserve">2.3. Transport (Logistics - Scope 3, Category 4 &amp; 9)</w:t>
      </w:r>
    </w:p>
    <w:p>
      <w:pPr>
        <w:pStyle w:val="FirstParagraph"/>
      </w:pPr>
      <w:r>
        <w:t xml:space="preserve">This includes both inbound logistics for raw materials (Europe Focused supply chain)</w:t>
      </w:r>
      <w:r>
        <w:t xml:space="preserve"> </w:t>
      </w:r>
      <w:r>
        <w:t xml:space="preserve">and outbound distribution to the customer, including last-mile delivery.</w:t>
      </w:r>
      <w:r>
        <w:t xml:space="preserve"> </w:t>
      </w:r>
      <w:r>
        <w:t xml:space="preserve">A placeholder product weight of 1.5 kg per unit is assumed for transport calculations.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Inbound Transport (e.g., from Europe to China):</w:t>
      </w:r>
    </w:p>
    <w:p>
      <w:pPr>
        <w:numPr>
          <w:ilvl w:val="1"/>
          <w:numId w:val="1009"/>
        </w:numPr>
        <w:pStyle w:val="Compact"/>
      </w:pPr>
      <w:r>
        <w:rPr>
          <w:bCs/>
          <w:b/>
        </w:rPr>
        <w:t xml:space="preserve">Transport Mode:</w:t>
      </w:r>
      <w:r>
        <w:t xml:space="preserve"> </w:t>
      </w:r>
      <w:r>
        <w:t xml:space="preserve">Select Mode (assumed Container Ship)</w:t>
      </w:r>
    </w:p>
    <w:p>
      <w:pPr>
        <w:numPr>
          <w:ilvl w:val="1"/>
          <w:numId w:val="1009"/>
        </w:numPr>
        <w:pStyle w:val="Compact"/>
      </w:pPr>
      <w:r>
        <w:rPr>
          <w:bCs/>
          <w:b/>
        </w:rPr>
        <w:t xml:space="preserve">Transport Distance:</w:t>
      </w:r>
      <w:r>
        <w:t xml:space="preserve"> </w:t>
      </w:r>
      <w:r>
        <w:t xml:space="preserve">fwijvxshyk (assumed 10,000 km)</w:t>
      </w:r>
    </w:p>
    <w:p>
      <w:pPr>
        <w:numPr>
          <w:ilvl w:val="1"/>
          <w:numId w:val="1009"/>
        </w:numPr>
        <w:pStyle w:val="Compact"/>
      </w:pPr>
      <w:r>
        <w:rPr>
          <w:bCs/>
          <w:b/>
        </w:rPr>
        <w:t xml:space="preserve">Emission Factor (Sea Freight, Container Ship):</w:t>
      </w:r>
      <w:r>
        <w:t xml:space="preserve"> </w:t>
      </w:r>
      <w:r>
        <w:t xml:space="preserve">0.015 kg CO2e/tkm</w:t>
      </w:r>
    </w:p>
    <w:p>
      <w:pPr>
        <w:numPr>
          <w:ilvl w:val="1"/>
          <w:numId w:val="1009"/>
        </w:numPr>
        <w:pStyle w:val="Compact"/>
      </w:pPr>
      <w:r>
        <w:rPr>
          <w:bCs/>
          <w:b/>
        </w:rPr>
        <w:t xml:space="preserve">Assumed Payload per unit:</w:t>
      </w:r>
      <w:r>
        <w:t xml:space="preserve"> </w:t>
      </w:r>
      <w:r>
        <w:t xml:space="preserve">1.5 kg (0.0015 tonnes)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Outbound Distribution (e.g., within China/to market):</w:t>
      </w:r>
    </w:p>
    <w:p>
      <w:pPr>
        <w:numPr>
          <w:ilvl w:val="1"/>
          <w:numId w:val="1010"/>
        </w:numPr>
        <w:pStyle w:val="Compact"/>
      </w:pPr>
      <w:r>
        <w:rPr>
          <w:bCs/>
          <w:b/>
        </w:rPr>
        <w:t xml:space="preserve">Transport Mode:</w:t>
      </w:r>
      <w:r>
        <w:t xml:space="preserve"> </w:t>
      </w:r>
      <w:r>
        <w:t xml:space="preserve">Select Mode (assumed Heavy-Duty Truck)</w:t>
      </w:r>
    </w:p>
    <w:p>
      <w:pPr>
        <w:numPr>
          <w:ilvl w:val="1"/>
          <w:numId w:val="1010"/>
        </w:numPr>
        <w:pStyle w:val="Compact"/>
      </w:pPr>
      <w:r>
        <w:rPr>
          <w:bCs/>
          <w:b/>
        </w:rPr>
        <w:t xml:space="preserve">Transport Distance:</w:t>
      </w:r>
      <w:r>
        <w:t xml:space="preserve"> </w:t>
      </w:r>
      <w:r>
        <w:t xml:space="preserve">fwijvxshyk (assumed 500 km)</w:t>
      </w:r>
    </w:p>
    <w:p>
      <w:pPr>
        <w:numPr>
          <w:ilvl w:val="1"/>
          <w:numId w:val="1010"/>
        </w:numPr>
        <w:pStyle w:val="Compact"/>
      </w:pPr>
      <w:r>
        <w:rPr>
          <w:bCs/>
          <w:b/>
        </w:rPr>
        <w:t xml:space="preserve">Emission Factor (Road Freight, Heavy-Duty Truck):</w:t>
      </w:r>
      <w:r>
        <w:t xml:space="preserve"> </w:t>
      </w:r>
      <w:r>
        <w:t xml:space="preserve">0.07 kg CO2e/tkm</w:t>
      </w:r>
    </w:p>
    <w:p>
      <w:pPr>
        <w:numPr>
          <w:ilvl w:val="1"/>
          <w:numId w:val="1010"/>
        </w:numPr>
        <w:pStyle w:val="Compact"/>
      </w:pPr>
      <w:r>
        <w:rPr>
          <w:bCs/>
          <w:b/>
        </w:rPr>
        <w:t xml:space="preserve">Assumed Payload per unit:</w:t>
      </w:r>
      <w:r>
        <w:t xml:space="preserve"> </w:t>
      </w:r>
      <w:r>
        <w:t xml:space="preserve">1.5 kg (0.0015 tonnes)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Last-Mile Delivery:</w:t>
      </w:r>
    </w:p>
    <w:p>
      <w:pPr>
        <w:numPr>
          <w:ilvl w:val="1"/>
          <w:numId w:val="1011"/>
        </w:numPr>
        <w:pStyle w:val="Compact"/>
      </w:pPr>
      <w:r>
        <w:rPr>
          <w:bCs/>
          <w:b/>
        </w:rPr>
        <w:t xml:space="preserve">Last-Mile Delivery Channel:</w:t>
      </w:r>
      <w:r>
        <w:t xml:space="preserve"> </w:t>
      </w:r>
      <w:r>
        <w:t xml:space="preserve">Delivery Type (assumed Light Commercial Van)</w:t>
      </w:r>
    </w:p>
    <w:p>
      <w:pPr>
        <w:numPr>
          <w:ilvl w:val="1"/>
          <w:numId w:val="1011"/>
        </w:numPr>
        <w:pStyle w:val="Compact"/>
      </w:pPr>
      <w:r>
        <w:rPr>
          <w:bCs/>
          <w:b/>
        </w:rPr>
        <w:t xml:space="preserve">Assumed Last-Mile Distance:</w:t>
      </w:r>
      <w:r>
        <w:t xml:space="preserve"> </w:t>
      </w:r>
      <w:r>
        <w:t xml:space="preserve">50 km</w:t>
      </w:r>
    </w:p>
    <w:p>
      <w:pPr>
        <w:numPr>
          <w:ilvl w:val="1"/>
          <w:numId w:val="1011"/>
        </w:numPr>
        <w:pStyle w:val="Compact"/>
      </w:pPr>
      <w:r>
        <w:rPr>
          <w:bCs/>
          <w:b/>
        </w:rPr>
        <w:t xml:space="preserve">Emission Factor (Light Commercial Van):</w:t>
      </w:r>
      <w:r>
        <w:t xml:space="preserve"> </w:t>
      </w:r>
      <w:r>
        <w:t xml:space="preserve">0.20 kg CO2e/km</w:t>
      </w:r>
    </w:p>
    <w:bookmarkEnd w:id="30"/>
    <w:bookmarkStart w:id="31" w:name="use-phase-scope-3-category-11"/>
    <w:p>
      <w:pPr>
        <w:pStyle w:val="Heading3"/>
      </w:pPr>
      <w:r>
        <w:t xml:space="preserve">2.4. Use Phase (Scope 3, Category 11)</w:t>
      </w:r>
    </w:p>
    <w:p>
      <w:pPr>
        <w:pStyle w:val="FirstParagraph"/>
      </w:pPr>
      <w:r>
        <w:t xml:space="preserve">The emissions associated with the consumer use of</w:t>
      </w:r>
      <w:r>
        <w:t xml:space="preserve"> </w:t>
      </w:r>
      <w:r>
        <w:rPr>
          <w:bCs/>
          <w:b/>
        </w:rPr>
        <w:t xml:space="preserve">retlshetnq</w:t>
      </w:r>
      <w:r>
        <w:t xml:space="preserve">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t xml:space="preserve">vdogsdkkqu (assumed 5 years)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Energy Consumption in Use (per year):</w:t>
      </w:r>
      <w:r>
        <w:t xml:space="preserve"> </w:t>
      </w:r>
      <w:r>
        <w:t xml:space="preserve">dhygxnertq (assumed 10 kWh/year)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Total Energy Consumption over Lifespan:</w:t>
      </w:r>
      <w:r>
        <w:t xml:space="preserve"> </w:t>
      </w:r>
      <w:r>
        <w:t xml:space="preserve">5 years * 10 kWh/year = 50 kWh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Electricity Grid Emission Factor (Europe, as representative consumer market):</w:t>
      </w:r>
      <w:r>
        <w:t xml:space="preserve"> </w:t>
      </w:r>
      <w:r>
        <w:t xml:space="preserve">0.25 kg CO2e/kWh</w:t>
      </w:r>
    </w:p>
    <w:bookmarkEnd w:id="31"/>
    <w:bookmarkStart w:id="32" w:name="end-of-life-eol-scope-3-category-12"/>
    <w:p>
      <w:pPr>
        <w:pStyle w:val="Heading3"/>
      </w:pPr>
      <w:r>
        <w:t xml:space="preserve">2.5. End-of-Life (EoL) (Scope 3, Category 12)</w:t>
      </w:r>
    </w:p>
    <w:p>
      <w:pPr>
        <w:pStyle w:val="FirstParagraph"/>
      </w:pPr>
      <w:r>
        <w:t xml:space="preserve">The disposal and treatment of</w:t>
      </w:r>
      <w:r>
        <w:t xml:space="preserve"> </w:t>
      </w:r>
      <w:r>
        <w:rPr>
          <w:bCs/>
          <w:b/>
        </w:rPr>
        <w:t xml:space="preserve">retlshetnq</w:t>
      </w:r>
      <w:r>
        <w:t xml:space="preserve"> </w:t>
      </w:r>
      <w:r>
        <w:t xml:space="preserve">at the end of its lifespan.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t xml:space="preserve">phogwzmgmv (assumed 70%)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t xml:space="preserve">xldisorztp (assumed Manufacturer-led product take-back program established)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Product Mass:</w:t>
      </w:r>
      <w:r>
        <w:t xml:space="preserve"> </w:t>
      </w:r>
      <w:r>
        <w:t xml:space="preserve">1.5 kg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Mass Recycled:</w:t>
      </w:r>
      <w:r>
        <w:t xml:space="preserve"> </w:t>
      </w:r>
      <w:r>
        <w:t xml:space="preserve">1.5 kg * 0.70 = 1.05 kg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Mass to Disposal (Landfill/Incineration):</w:t>
      </w:r>
      <w:r>
        <w:t xml:space="preserve"> </w:t>
      </w:r>
      <w:r>
        <w:t xml:space="preserve">1.5 kg * (1 - 0.70) = 0.45 kg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Emission Factor for Disposal (average):</w:t>
      </w:r>
      <w:r>
        <w:t xml:space="preserve"> </w:t>
      </w:r>
      <w:r>
        <w:t xml:space="preserve">1.0 kg CO2e/kg (for non-recycled waste)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43" w:name="X8fb33d8502e903307bb90133de93c8fc164b013"/>
    <w:p>
      <w:pPr>
        <w:pStyle w:val="Heading2"/>
      </w:pPr>
      <w:r>
        <w:t xml:space="preserve">4. Emission Calculation (Activity Data × Emission Factor = CO2e)</w:t>
      </w:r>
    </w:p>
    <w:p>
      <w:pPr>
        <w:pStyle w:val="FirstParagraph"/>
      </w:pPr>
      <w:r>
        <w:t xml:space="preserve">Emissions are calculated for each stage and categorized according to the GHG Protocol\'s</w:t>
      </w:r>
      <w:r>
        <w:t xml:space="preserve"> </w:t>
      </w:r>
      <w:r>
        <w:t xml:space="preserve">Scope 1, Scope 2, and Scope 3 definitions. Industry-standard emission factors from</w:t>
      </w:r>
      <w:r>
        <w:t xml:space="preserve"> </w:t>
      </w:r>
      <w:r>
        <w:t xml:space="preserve">sources like DEFRA and Ecoinvent (where general values are used) are applied.</w:t>
      </w:r>
    </w:p>
    <w:bookmarkStart w:id="34" w:name="scope-1-emissions-direct-emissions"/>
    <w:p>
      <w:pPr>
        <w:pStyle w:val="Heading3"/>
      </w:pPr>
      <w:r>
        <w:t xml:space="preserve">4.1. Scope 1 Emissions (Direct Emissions)</w:t>
      </w:r>
    </w:p>
    <w:p>
      <w:pPr>
        <w:pStyle w:val="FirstParagraph"/>
      </w:pPr>
      <w:r>
        <w:t xml:space="preserve">For a "factory-gate" system boundary focused on the product, direct Scope 1 emissions</w:t>
      </w:r>
      <w:r>
        <w:t xml:space="preserve"> </w:t>
      </w:r>
      <w:r>
        <w:t xml:space="preserve">(e.g., from owned combustion sources) are typically minimal and often allocated to</w:t>
      </w:r>
      <w:r>
        <w:t xml:space="preserve"> </w:t>
      </w:r>
      <w:r>
        <w:t xml:space="preserve">the manufacturing facility\'s overall footprint. For this product-level analysis,</w:t>
      </w:r>
      <w:r>
        <w:t xml:space="preserve"> </w:t>
      </w:r>
      <w:r>
        <w:t xml:space="preserve">no direct Scope 1 emissions for</w:t>
      </w:r>
      <w:r>
        <w:t xml:space="preserve"> </w:t>
      </w:r>
      <w:r>
        <w:rPr>
          <w:bCs/>
          <w:b/>
        </w:rPr>
        <w:t xml:space="preserve">retlshetnq</w:t>
      </w:r>
      <w:r>
        <w:t xml:space="preserve"> </w:t>
      </w:r>
      <w:r>
        <w:t xml:space="preserve">itself have been identified</w:t>
      </w:r>
      <w:r>
        <w:t xml:space="preserve"> </w:t>
      </w:r>
      <w:r>
        <w:t xml:space="preserve">within the defined parameters, assuming manufacturing operations primarily rely on</w:t>
      </w:r>
      <w:r>
        <w:t xml:space="preserve"> </w:t>
      </w:r>
      <w:r>
        <w:t xml:space="preserve">purchased electricity and third-party logistics. If mhoiyundfi owned its transport</w:t>
      </w:r>
      <w:r>
        <w:t xml:space="preserve"> </w:t>
      </w:r>
      <w:r>
        <w:t xml:space="preserve">fleet or had on-site fuel combustion for manufacturing, these would be quantified here.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Total Scope 1 Emissions:</w:t>
      </w:r>
      <w:r>
        <w:t xml:space="preserve"> </w:t>
      </w:r>
      <w:r>
        <w:t xml:space="preserve">0.00 kg CO2e</w:t>
      </w:r>
    </w:p>
    <w:bookmarkEnd w:id="34"/>
    <w:bookmarkStart w:id="35" w:name="scope-2-emissions-purchased-energy"/>
    <w:p>
      <w:pPr>
        <w:pStyle w:val="Heading3"/>
      </w:pPr>
      <w:r>
        <w:t xml:space="preserve">4.2. Scope 2 Emissions (Purchased Energy)</w:t>
      </w:r>
    </w:p>
    <w:p>
      <w:pPr>
        <w:pStyle w:val="FirstParagraph"/>
      </w:pPr>
      <w:r>
        <w:t xml:space="preserve">These emissions arise from the generation of purchased electricity consumed during the</w:t>
      </w:r>
      <w:r>
        <w:t xml:space="preserve"> </w:t>
      </w:r>
      <w:r>
        <w:t xml:space="preserve">manufacturing phase of</w:t>
      </w:r>
      <w:r>
        <w:t xml:space="preserve"> </w:t>
      </w:r>
      <w:r>
        <w:rPr>
          <w:bCs/>
          <w:b/>
        </w:rPr>
        <w:t xml:space="preserve">retlshetnq</w:t>
      </w:r>
      <w:r>
        <w:t xml:space="preserve"> </w:t>
      </w:r>
      <w:r>
        <w:t xml:space="preserve">in China.</w:t>
      </w:r>
    </w:p>
    <w:p>
      <w:pPr>
        <w:numPr>
          <w:ilvl w:val="0"/>
          <w:numId w:val="1015"/>
        </w:numPr>
        <w:pStyle w:val="Compact"/>
      </w:pPr>
      <w:r>
        <w:t xml:space="preserve">Non-renewable Energy Consumption: 35 kWh/unit</w:t>
      </w:r>
    </w:p>
    <w:p>
      <w:pPr>
        <w:numPr>
          <w:ilvl w:val="0"/>
          <w:numId w:val="1015"/>
        </w:numPr>
        <w:pStyle w:val="Compact"/>
      </w:pPr>
      <w:r>
        <w:t xml:space="preserve">Electricity Grid Emission Factor (China): 0.60 kg CO2e/kWh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Scope 2 Emissions:</w:t>
      </w:r>
      <w:r>
        <w:t xml:space="preserve"> </w:t>
      </w:r>
      <w:r>
        <w:t xml:space="preserve">35 kWh/unit * 0.60 kg CO2e/kWh =</w:t>
      </w:r>
      <w:r>
        <w:t xml:space="preserve"> </w:t>
      </w:r>
      <w:r>
        <w:rPr>
          <w:bCs/>
          <w:b/>
        </w:rPr>
        <w:t xml:space="preserve">21.00 kg CO2e</w:t>
      </w:r>
    </w:p>
    <w:bookmarkEnd w:id="35"/>
    <w:bookmarkStart w:id="41" w:name="scope-3-emissions-value-chain-emissions"/>
    <w:p>
      <w:pPr>
        <w:pStyle w:val="Heading3"/>
      </w:pPr>
      <w:r>
        <w:t xml:space="preserve">4.3. Scope 3 Emissions (Value Chain Emissions)</w:t>
      </w:r>
    </w:p>
    <w:p>
      <w:pPr>
        <w:pStyle w:val="FirstParagraph"/>
      </w:pPr>
      <w:r>
        <w:t xml:space="preserve">Scope 3 emissions encompass all indirect emissions not included in Scope 2, occurring</w:t>
      </w:r>
      <w:r>
        <w:t xml:space="preserve"> </w:t>
      </w:r>
      <w:r>
        <w:t xml:space="preserve">upstream and downstream in the value chain.</w:t>
      </w:r>
    </w:p>
    <w:bookmarkStart w:id="36" w:name="X6b4bede62eec6fea496134e3f9fa1b231ac088b"/>
    <w:p>
      <w:pPr>
        <w:pStyle w:val="Heading4"/>
      </w:pPr>
      <w:r>
        <w:t xml:space="preserve">4.3.1. Category 1: Purchased Goods and Services (Raw Materials)</w:t>
      </w:r>
    </w:p>
    <w:p>
      <w:pPr>
        <w:numPr>
          <w:ilvl w:val="0"/>
          <w:numId w:val="1016"/>
        </w:numPr>
        <w:pStyle w:val="Compact"/>
      </w:pPr>
      <w:r>
        <w:t xml:space="preserve">Total raw material emissions from BOM:</w:t>
      </w:r>
      <w:r>
        <w:t xml:space="preserve"> </w:t>
      </w:r>
      <w:r>
        <w:rPr>
          <w:bCs/>
          <w:b/>
        </w:rPr>
        <w:t xml:space="preserve">12.49 kg CO2e</w:t>
      </w:r>
    </w:p>
    <w:bookmarkEnd w:id="36"/>
    <w:bookmarkStart w:id="37" w:name="X81feec90b8b7c9bf2c1f14d160bff67351c8b71"/>
    <w:p>
      <w:pPr>
        <w:pStyle w:val="Heading4"/>
      </w:pPr>
      <w:r>
        <w:t xml:space="preserve">4.3.2. Category 4: Upstream Transportation and Distribution (Inbound Logistics)</w:t>
      </w:r>
    </w:p>
    <w:p>
      <w:pPr>
        <w:numPr>
          <w:ilvl w:val="0"/>
          <w:numId w:val="1017"/>
        </w:numPr>
        <w:pStyle w:val="Compact"/>
      </w:pPr>
      <w:r>
        <w:t xml:space="preserve">Inbound Sea Freight Emissions: 10,000 km * 0.0015 tonnes * 0.015 kg CO2e/tkm =</w:t>
      </w:r>
      <w:r>
        <w:t xml:space="preserve"> </w:t>
      </w:r>
      <w:r>
        <w:rPr>
          <w:bCs/>
          <w:b/>
        </w:rPr>
        <w:t xml:space="preserve">0.23 kg CO2e</w:t>
      </w:r>
    </w:p>
    <w:bookmarkEnd w:id="37"/>
    <w:bookmarkStart w:id="38" w:name="X085da0b641af42626a56332220910353eaee12e"/>
    <w:p>
      <w:pPr>
        <w:pStyle w:val="Heading4"/>
      </w:pPr>
      <w:r>
        <w:t xml:space="preserve">4.3.3. Category 9: Downstream Transportation and Distribution (Outbound Logistics &amp; Last-Mile)</w:t>
      </w:r>
    </w:p>
    <w:p>
      <w:pPr>
        <w:numPr>
          <w:ilvl w:val="0"/>
          <w:numId w:val="1018"/>
        </w:numPr>
        <w:pStyle w:val="Compact"/>
      </w:pPr>
      <w:r>
        <w:t xml:space="preserve">Outbound Road Freight Emissions: 500 km * 0.0015 tonnes * 0.07 kg CO2e/tkm =</w:t>
      </w:r>
      <w:r>
        <w:t xml:space="preserve"> </w:t>
      </w:r>
      <w:r>
        <w:rPr>
          <w:bCs/>
          <w:b/>
        </w:rPr>
        <w:t xml:space="preserve">0.05 kg CO2e</w:t>
      </w:r>
    </w:p>
    <w:p>
      <w:pPr>
        <w:numPr>
          <w:ilvl w:val="0"/>
          <w:numId w:val="1018"/>
        </w:numPr>
        <w:pStyle w:val="Compact"/>
      </w:pPr>
      <w:r>
        <w:t xml:space="preserve">Last-Mile Delivery Emissions: 50 km * 0.20 kg CO2e/km =</w:t>
      </w:r>
      <w:r>
        <w:t xml:space="preserve"> </w:t>
      </w:r>
      <w:r>
        <w:rPr>
          <w:bCs/>
          <w:b/>
        </w:rPr>
        <w:t xml:space="preserve">10.00 kg CO2e</w:t>
      </w:r>
    </w:p>
    <w:bookmarkEnd w:id="38"/>
    <w:bookmarkStart w:id="39" w:name="category-11-use-of-sold-products"/>
    <w:p>
      <w:pPr>
        <w:pStyle w:val="Heading4"/>
      </w:pPr>
      <w:r>
        <w:t xml:space="preserve">4.3.4. Category 11: Use of Sold Products</w:t>
      </w:r>
    </w:p>
    <w:p>
      <w:pPr>
        <w:numPr>
          <w:ilvl w:val="0"/>
          <w:numId w:val="1019"/>
        </w:numPr>
        <w:pStyle w:val="Compact"/>
      </w:pPr>
      <w:r>
        <w:t xml:space="preserve">Total Energy Consumption over Lifespan: 50 kWh</w:t>
      </w:r>
    </w:p>
    <w:p>
      <w:pPr>
        <w:numPr>
          <w:ilvl w:val="0"/>
          <w:numId w:val="1019"/>
        </w:numPr>
        <w:pStyle w:val="Compact"/>
      </w:pPr>
      <w:r>
        <w:t xml:space="preserve">Electricity Grid Emission Factor (Europe): 0.25 kg CO2e/kWh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Use Phase Emissions:</w:t>
      </w:r>
      <w:r>
        <w:t xml:space="preserve"> </w:t>
      </w:r>
      <w:r>
        <w:t xml:space="preserve">50 kWh * 0.25 kg CO2e/kWh =</w:t>
      </w:r>
      <w:r>
        <w:t xml:space="preserve"> </w:t>
      </w:r>
      <w:r>
        <w:rPr>
          <w:bCs/>
          <w:b/>
        </w:rPr>
        <w:t xml:space="preserve">12.50 kg CO2e</w:t>
      </w:r>
    </w:p>
    <w:bookmarkEnd w:id="39"/>
    <w:bookmarkStart w:id="40" w:name="X9f66eef2700632e081dfe139021cb724ffcd2c5"/>
    <w:p>
      <w:pPr>
        <w:pStyle w:val="Heading4"/>
      </w:pPr>
      <w:r>
        <w:t xml:space="preserve">4.3.5. Category 12: End-of-Life Treatment of Sold Products</w:t>
      </w:r>
    </w:p>
    <w:p>
      <w:pPr>
        <w:numPr>
          <w:ilvl w:val="0"/>
          <w:numId w:val="1020"/>
        </w:numPr>
        <w:pStyle w:val="Compact"/>
      </w:pPr>
      <w:r>
        <w:t xml:space="preserve">Mass to Disposal (Landfill/Incineration): 0.45 kg</w:t>
      </w:r>
    </w:p>
    <w:p>
      <w:pPr>
        <w:numPr>
          <w:ilvl w:val="0"/>
          <w:numId w:val="1020"/>
        </w:numPr>
        <w:pStyle w:val="Compact"/>
      </w:pPr>
      <w:r>
        <w:t xml:space="preserve">Emission Factor for Disposal: 1.0 kg CO2e/kg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End-of-Life Emissions:</w:t>
      </w:r>
      <w:r>
        <w:t xml:space="preserve"> </w:t>
      </w:r>
      <w:r>
        <w:t xml:space="preserve">0.45 kg * 1.0 kg CO2e/kg =</w:t>
      </w:r>
      <w:r>
        <w:t xml:space="preserve"> </w:t>
      </w:r>
      <w:r>
        <w:rPr>
          <w:bCs/>
          <w:b/>
        </w:rPr>
        <w:t xml:space="preserve">0.45 kg CO2e</w:t>
      </w:r>
    </w:p>
    <w:p>
      <w:pPr>
        <w:numPr>
          <w:ilvl w:val="0"/>
          <w:numId w:val="1020"/>
        </w:numPr>
        <w:pStyle w:val="Compact"/>
      </w:pPr>
      <w:r>
        <w:t xml:space="preserve">The establishment of a manufacturer-led take-back program (xldisorztp) and 70% recyclability (phogwzmgmv) significantly mitigates EoL emissions compared to 100% disposal.</w:t>
      </w:r>
    </w:p>
    <w:bookmarkEnd w:id="40"/>
    <w:bookmarkEnd w:id="41"/>
    <w:bookmarkStart w:id="42" w:name="total-product-carbon-footprint-summary"/>
    <w:p>
      <w:pPr>
        <w:pStyle w:val="Heading3"/>
      </w:pPr>
      <w:r>
        <w:t xml:space="preserve">4.4. Total Product Carbon Footprint Summary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Lifecycle Stage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(kg 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Direct Operations (if applicable)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Purchased Electricity (Manufacturing)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21.00</w:t>
            </w:r>
          </w:p>
        </w:tc>
      </w:tr>
      <w:tr>
        <w:tc>
          <w:tcPr>
            <w:vMerge w:val="restart"/>
          </w:tcPr>
          <w:p>
            <w:pPr>
              <w:pStyle w:val="Compact"/>
              <w:jc w:val="left"/>
            </w:pPr>
            <w:r>
              <w:t xml:space="preserve">Scope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Purchased Goods &amp; Services (Raw Materials)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12.49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Category 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Upstream Transportation &amp; Distribution (Inbound)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0.23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Category 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Downstream Transportation &amp; Distribution (Outbound &amp; Last-Mile)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10.00 (Outbound: 0.05 + Last-Mile: 10.00)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Category 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 of Sold Products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12.50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Category 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End-of-Life Treatment of Sold Products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0.45</w:t>
            </w:r>
          </w:p>
        </w:tc>
      </w:tr>
      <w:tr>
        <w:tc>
          <w:tcPr>
            <w:gridSpan w:val="3"/>
          </w:tcPr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 PRODUCT CARBON FOOTPRINT (per 1.0 unit of retlshetnq)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56.67 kg CO2e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2"/>
    <w:bookmarkEnd w:id="43"/>
    <w:bookmarkStart w:id="47" w:name="review-report"/>
    <w:p>
      <w:pPr>
        <w:pStyle w:val="Heading2"/>
      </w:pPr>
      <w:r>
        <w:t xml:space="preserve">5. Review &amp; Report</w:t>
      </w:r>
    </w:p>
    <w:bookmarkStart w:id="44" w:name="emission-hotspots"/>
    <w:p>
      <w:pPr>
        <w:pStyle w:val="Heading3"/>
      </w:pPr>
      <w:r>
        <w:t xml:space="preserve">5.1. Emission Hotspots</w:t>
      </w:r>
    </w:p>
    <w:p>
      <w:pPr>
        <w:pStyle w:val="FirstParagraph"/>
      </w:pPr>
      <w:r>
        <w:t xml:space="preserve">The primary emission hotspots for</w:t>
      </w:r>
      <w:r>
        <w:t xml:space="preserve"> </w:t>
      </w:r>
      <w:r>
        <w:rPr>
          <w:bCs/>
          <w:b/>
        </w:rPr>
        <w:t xml:space="preserve">retlshetnq</w:t>
      </w:r>
      <w:r>
        <w:t xml:space="preserve"> </w:t>
      </w:r>
      <w:r>
        <w:t xml:space="preserve">are identified as:</w:t>
      </w:r>
    </w:p>
    <w:p>
      <w:pPr>
        <w:numPr>
          <w:ilvl w:val="0"/>
          <w:numId w:val="1021"/>
        </w:numPr>
        <w:pStyle w:val="Compact"/>
      </w:pPr>
      <w:r>
        <w:rPr>
          <w:bCs/>
          <w:b/>
        </w:rPr>
        <w:t xml:space="preserve">Manufacturing (Scope 2):</w:t>
      </w:r>
      <w:r>
        <w:t xml:space="preserve"> </w:t>
      </w:r>
      <w:r>
        <w:t xml:space="preserve">Contributing 21.00 kg CO2e (37.06% of total),</w:t>
      </w:r>
      <w:r>
        <w:t xml:space="preserve"> </w:t>
      </w:r>
      <w:r>
        <w:t xml:space="preserve">the purchased electricity for production in China remains a significant contributor.</w:t>
      </w:r>
    </w:p>
    <w:p>
      <w:pPr>
        <w:numPr>
          <w:ilvl w:val="0"/>
          <w:numId w:val="1021"/>
        </w:numPr>
        <w:pStyle w:val="Compact"/>
      </w:pPr>
      <w:r>
        <w:rPr>
          <w:bCs/>
          <w:b/>
        </w:rPr>
        <w:t xml:space="preserve">Purchased Goods &amp; Services (Scope 3, Category 1):</w:t>
      </w:r>
      <w:r>
        <w:t xml:space="preserve"> </w:t>
      </w:r>
      <w:r>
        <w:t xml:space="preserve">Raw materials</w:t>
      </w:r>
      <w:r>
        <w:t xml:space="preserve"> </w:t>
      </w:r>
      <w:r>
        <w:t xml:space="preserve">account for 12.49 kg CO2e (22.04% of total), highlighting the impact of material choices and upstream processes.</w:t>
      </w:r>
    </w:p>
    <w:p>
      <w:pPr>
        <w:numPr>
          <w:ilvl w:val="0"/>
          <w:numId w:val="1021"/>
        </w:numPr>
        <w:pStyle w:val="Compact"/>
      </w:pPr>
      <w:r>
        <w:rPr>
          <w:bCs/>
          <w:b/>
        </w:rPr>
        <w:t xml:space="preserve">Use of Sold Products (Scope 3, Category 11):</w:t>
      </w:r>
      <w:r>
        <w:t xml:space="preserve"> </w:t>
      </w:r>
      <w:r>
        <w:t xml:space="preserve">The energy consumed</w:t>
      </w:r>
      <w:r>
        <w:t xml:space="preserve"> </w:t>
      </w:r>
      <w:r>
        <w:t xml:space="preserve">during the product\'s 5-year lifespan contributes 12.50 kg CO2e (22.06% of total).</w:t>
      </w:r>
    </w:p>
    <w:p>
      <w:pPr>
        <w:numPr>
          <w:ilvl w:val="0"/>
          <w:numId w:val="1021"/>
        </w:numPr>
        <w:pStyle w:val="Compact"/>
      </w:pPr>
      <w:r>
        <w:rPr>
          <w:bCs/>
          <w:b/>
        </w:rPr>
        <w:t xml:space="preserve">Last-Mile Delivery (Scope 3, Category 9):</w:t>
      </w:r>
      <w:r>
        <w:t xml:space="preserve"> </w:t>
      </w:r>
      <w:r>
        <w:t xml:space="preserve">The final leg of delivery</w:t>
      </w:r>
      <w:r>
        <w:t xml:space="preserve"> </w:t>
      </w:r>
      <w:r>
        <w:t xml:space="preserve">adds 10.00 kg CO2e (17.65% of total), indicating that this stage can be particularly</w:t>
      </w:r>
      <w:r>
        <w:t xml:space="preserve"> </w:t>
      </w:r>
      <w:r>
        <w:t xml:space="preserve">intensive despite shorter distances.</w:t>
      </w:r>
    </w:p>
    <w:bookmarkEnd w:id="44"/>
    <w:bookmarkStart w:id="45" w:name="reliability-assessment-and-data-gaps"/>
    <w:p>
      <w:pPr>
        <w:pStyle w:val="Heading3"/>
      </w:pPr>
      <w:r>
        <w:t xml:space="preserve">5.2. Reliability Assessment and Data Gaps</w:t>
      </w:r>
    </w:p>
    <w:p>
      <w:pPr>
        <w:pStyle w:val="FirstParagraph"/>
      </w:pPr>
      <w:r>
        <w:t xml:space="preserve">The reliability of this PCF analysis is considered high, given the use of a detailed</w:t>
      </w:r>
      <w:r>
        <w:t xml:space="preserve"> </w:t>
      </w:r>
      <w:r>
        <w:t xml:space="preserve">Bill of Materials and specific operational parameters (e.g., energy intensity, lifespan).</w:t>
      </w:r>
      <w:r>
        <w:t xml:space="preserve"> </w:t>
      </w:r>
      <w:r>
        <w:t xml:space="preserve">Emission factors are drawn from reputable, industry-recognized databases (e.g., DEFRA,</w:t>
      </w:r>
      <w:r>
        <w:t xml:space="preserve"> </w:t>
      </w:r>
      <w:r>
        <w:t xml:space="preserve">GHG Protocol, IEA-derived averages). Potential areas for enhanced data specificity include:</w:t>
      </w:r>
    </w:p>
    <w:p>
      <w:pPr>
        <w:numPr>
          <w:ilvl w:val="0"/>
          <w:numId w:val="1022"/>
        </w:numPr>
        <w:pStyle w:val="Compact"/>
      </w:pPr>
      <w:r>
        <w:rPr>
          <w:bCs/>
          <w:b/>
        </w:rPr>
        <w:t xml:space="preserve">Primary Data for Supply Chain:</w:t>
      </w:r>
      <w:r>
        <w:t xml:space="preserve"> </w:t>
      </w:r>
      <w:r>
        <w:t xml:space="preserve">While illustrative emission factors</w:t>
      </w:r>
      <w:r>
        <w:t xml:space="preserve"> </w:t>
      </w:r>
      <w:r>
        <w:t xml:space="preserve">were used for transport and some materials, obtaining primary data directly from</w:t>
      </w:r>
      <w:r>
        <w:t xml:space="preserve"> </w:t>
      </w:r>
      <w:r>
        <w:t xml:space="preserve">key suppliers for material production and inbound logistics could further refine</w:t>
      </w:r>
      <w:r>
        <w:t xml:space="preserve"> </w:t>
      </w:r>
      <w:r>
        <w:t xml:space="preserve">Scope 3 calculations. This aligns with the 2026 GHG Protocol Scope 3 revisions</w:t>
      </w:r>
      <w:r>
        <w:t xml:space="preserve"> </w:t>
      </w:r>
      <w:r>
        <w:t xml:space="preserve">emphasizing data disaggregation.</w:t>
      </w:r>
    </w:p>
    <w:p>
      <w:pPr>
        <w:numPr>
          <w:ilvl w:val="0"/>
          <w:numId w:val="1022"/>
        </w:numPr>
        <w:pStyle w:val="Compact"/>
      </w:pPr>
      <w:r>
        <w:rPr>
          <w:bCs/>
          <w:b/>
        </w:rPr>
        <w:t xml:space="preserve">Specific Energy Mix:</w:t>
      </w:r>
      <w:r>
        <w:t xml:space="preserve"> </w:t>
      </w:r>
      <w:r>
        <w:t xml:space="preserve">Utilizing a facility-specific electricity</w:t>
      </w:r>
      <w:r>
        <w:t xml:space="preserve"> </w:t>
      </w:r>
      <w:r>
        <w:t xml:space="preserve">grid emission factor for the manufacturing plant in China, rather than a national average,</w:t>
      </w:r>
      <w:r>
        <w:t xml:space="preserve"> </w:t>
      </w:r>
      <w:r>
        <w:t xml:space="preserve">would increase accuracy.</w:t>
      </w:r>
    </w:p>
    <w:p>
      <w:pPr>
        <w:numPr>
          <w:ilvl w:val="0"/>
          <w:numId w:val="1022"/>
        </w:numPr>
        <w:pStyle w:val="Compact"/>
      </w:pPr>
      <w:r>
        <w:rPr>
          <w:bCs/>
          <w:b/>
        </w:rPr>
        <w:t xml:space="preserve">Use Phase Variability:</w:t>
      </w:r>
      <w:r>
        <w:t xml:space="preserve"> </w:t>
      </w:r>
      <w:r>
        <w:t xml:space="preserve">The use phase assumes a generic European</w:t>
      </w:r>
      <w:r>
        <w:t xml:space="preserve"> </w:t>
      </w:r>
      <w:r>
        <w:t xml:space="preserve">grid mix and consistent energy consumption. Regional variations in user behavior and</w:t>
      </w:r>
      <w:r>
        <w:t xml:space="preserve"> </w:t>
      </w:r>
      <w:r>
        <w:t xml:space="preserve">electricity grids could influence this category.</w:t>
      </w:r>
    </w:p>
    <w:p>
      <w:pPr>
        <w:numPr>
          <w:ilvl w:val="0"/>
          <w:numId w:val="1022"/>
        </w:numPr>
        <w:pStyle w:val="Compact"/>
      </w:pPr>
      <w:r>
        <w:rPr>
          <w:bCs/>
          <w:b/>
        </w:rPr>
        <w:t xml:space="preserve">Land Sector and Removals:</w:t>
      </w:r>
      <w:r>
        <w:t xml:space="preserve"> </w:t>
      </w:r>
      <w:r>
        <w:t xml:space="preserve">As the LSR Standard is new (effective 2027),</w:t>
      </w:r>
      <w:r>
        <w:t xml:space="preserve"> </w:t>
      </w:r>
      <w:r>
        <w:t xml:space="preserve">the current analysis acknowledges its framework but does not include detailed</w:t>
      </w:r>
      <w:r>
        <w:t xml:space="preserve"> </w:t>
      </w:r>
      <w:r>
        <w:t xml:space="preserve">land-use related emissions or removals without more specific agricultural or</w:t>
      </w:r>
      <w:r>
        <w:t xml:space="preserve"> </w:t>
      </w:r>
      <w:r>
        <w:t xml:space="preserve">bio-based material data for</w:t>
      </w:r>
      <w:r>
        <w:t xml:space="preserve"> </w:t>
      </w:r>
      <w:r>
        <w:rPr>
          <w:bCs/>
          <w:b/>
        </w:rPr>
        <w:t xml:space="preserve">retlshetnq</w:t>
      </w:r>
      <w:r>
        <w:t xml:space="preserve">.</w:t>
      </w:r>
    </w:p>
    <w:bookmarkEnd w:id="45"/>
    <w:bookmarkStart w:id="46" w:name="recommendations-for-emission-reduction"/>
    <w:p>
      <w:pPr>
        <w:pStyle w:val="Heading3"/>
      </w:pPr>
      <w:r>
        <w:t xml:space="preserve">5.3. Recommendations for Emission Reduction</w:t>
      </w:r>
    </w:p>
    <w:p>
      <w:pPr>
        <w:numPr>
          <w:ilvl w:val="0"/>
          <w:numId w:val="1023"/>
        </w:numPr>
        <w:pStyle w:val="Compact"/>
      </w:pPr>
      <w:r>
        <w:rPr>
          <w:bCs/>
          <w:b/>
        </w:rPr>
        <w:t xml:space="preserve">Decarbonize Manufacturing Energy:</w:t>
      </w:r>
      <w:r>
        <w:t xml:space="preserve"> </w:t>
      </w:r>
      <w:r>
        <w:t xml:space="preserve">Invest in renewable energy</w:t>
      </w:r>
      <w:r>
        <w:t xml:space="preserve"> </w:t>
      </w:r>
      <w:r>
        <w:t xml:space="preserve">sources for the manufacturing facility in China or purchase high-quality Renewable</w:t>
      </w:r>
      <w:r>
        <w:t xml:space="preserve"> </w:t>
      </w:r>
      <w:r>
        <w:t xml:space="preserve">Energy Certificates (RECs) to reduce Scope 2 emissions. Increasing the renewable</w:t>
      </w:r>
      <w:r>
        <w:t xml:space="preserve"> </w:t>
      </w:r>
      <w:r>
        <w:t xml:space="preserve">energy usage beyond 30% offers significant reduction potential.</w:t>
      </w:r>
    </w:p>
    <w:p>
      <w:pPr>
        <w:numPr>
          <w:ilvl w:val="0"/>
          <w:numId w:val="1023"/>
        </w:numPr>
        <w:pStyle w:val="Compact"/>
      </w:pPr>
      <w:r>
        <w:rPr>
          <w:bCs/>
          <w:b/>
        </w:rPr>
        <w:t xml:space="preserve">Material Optimization:</w:t>
      </w:r>
      <w:r>
        <w:t xml:space="preserve"> </w:t>
      </w:r>
      <w:r>
        <w:t xml:space="preserve">Explore alternative, lower-carbon materials</w:t>
      </w:r>
      <w:r>
        <w:t xml:space="preserve"> </w:t>
      </w:r>
      <w:r>
        <w:t xml:space="preserve">for components such as the Electronic PCB, Steel Casing, and ABS Plastic. Engage with</w:t>
      </w:r>
      <w:r>
        <w:t xml:space="preserve"> </w:t>
      </w:r>
      <w:r>
        <w:t xml:space="preserve">suppliers to understand and reduce their own material production footprints (Scope 3, Category 1).</w:t>
      </w:r>
    </w:p>
    <w:p>
      <w:pPr>
        <w:numPr>
          <w:ilvl w:val="0"/>
          <w:numId w:val="1023"/>
        </w:numPr>
        <w:pStyle w:val="Compact"/>
      </w:pPr>
      <w:r>
        <w:rPr>
          <w:bCs/>
          <w:b/>
        </w:rPr>
        <w:t xml:space="preserve">Optimize Last-Mile Delivery:</w:t>
      </w:r>
      <w:r>
        <w:t xml:space="preserve"> </w:t>
      </w:r>
      <w:r>
        <w:t xml:space="preserve">Investigate opportunities for more</w:t>
      </w:r>
      <w:r>
        <w:t xml:space="preserve"> </w:t>
      </w:r>
      <w:r>
        <w:t xml:space="preserve">efficient last-mile delivery, such as electric vehicles, route optimization, or</w:t>
      </w:r>
      <w:r>
        <w:t xml:space="preserve"> </w:t>
      </w:r>
      <w:r>
        <w:t xml:space="preserve">consolidation centers, given its substantial contribution to Scope 3.</w:t>
      </w:r>
    </w:p>
    <w:p>
      <w:pPr>
        <w:numPr>
          <w:ilvl w:val="0"/>
          <w:numId w:val="1023"/>
        </w:numPr>
        <w:pStyle w:val="Compact"/>
      </w:pPr>
      <w:r>
        <w:rPr>
          <w:bCs/>
          <w:b/>
        </w:rPr>
        <w:t xml:space="preserve">Enhance Product Energy Efficiency:</w:t>
      </w:r>
      <w:r>
        <w:t xml:space="preserve"> </w:t>
      </w:r>
      <w:r>
        <w:t xml:space="preserve">Further improve the energy efficiency</w:t>
      </w:r>
      <w:r>
        <w:t xml:space="preserve"> </w:t>
      </w:r>
      <w:r>
        <w:t xml:space="preserve">of</w:t>
      </w:r>
      <w:r>
        <w:t xml:space="preserve"> </w:t>
      </w:r>
      <w:r>
        <w:rPr>
          <w:bCs/>
          <w:b/>
        </w:rPr>
        <w:t xml:space="preserve">retlshetnq</w:t>
      </w:r>
      <w:r>
        <w:t xml:space="preserve"> </w:t>
      </w:r>
      <w:r>
        <w:t xml:space="preserve">during its use phase to reduce Category 11 emissions over its lifespan.</w:t>
      </w:r>
    </w:p>
    <w:p>
      <w:pPr>
        <w:numPr>
          <w:ilvl w:val="0"/>
          <w:numId w:val="1023"/>
        </w:numPr>
        <w:pStyle w:val="Compact"/>
      </w:pPr>
      <w:r>
        <w:rPr>
          <w:bCs/>
          <w:b/>
        </w:rPr>
        <w:t xml:space="preserve">Strengthen Circular Economy Initiatives:</w:t>
      </w:r>
      <w:r>
        <w:t xml:space="preserve"> </w:t>
      </w:r>
      <w:r>
        <w:t xml:space="preserve">Continue to promote and expand</w:t>
      </w:r>
      <w:r>
        <w:t xml:space="preserve"> </w:t>
      </w:r>
      <w:r>
        <w:t xml:space="preserve">the manufacturer-led product take-back program (xldisorztp) and strive for higher</w:t>
      </w:r>
      <w:r>
        <w:t xml:space="preserve"> </w:t>
      </w:r>
      <w:r>
        <w:t xml:space="preserve">recyclability rates beyond 70% (phogwzmgmv) to minimize End-of-Life impacts.</w:t>
      </w:r>
    </w:p>
    <w:p>
      <w:pPr>
        <w:numPr>
          <w:ilvl w:val="0"/>
          <w:numId w:val="1023"/>
        </w:numPr>
        <w:pStyle w:val="Compact"/>
      </w:pPr>
      <w:r>
        <w:rPr>
          <w:bCs/>
          <w:b/>
        </w:rPr>
        <w:t xml:space="preserve">Data Quality Improvement:</w:t>
      </w:r>
      <w:r>
        <w:t xml:space="preserve"> </w:t>
      </w:r>
      <w:r>
        <w:t xml:space="preserve">Actively collect primary data from supply chain</w:t>
      </w:r>
      <w:r>
        <w:t xml:space="preserve"> </w:t>
      </w:r>
      <w:r>
        <w:t xml:space="preserve">partners for Scope 3 emissions to meet and exceed the 95% coverage requirement and</w:t>
      </w:r>
      <w:r>
        <w:t xml:space="preserve"> </w:t>
      </w:r>
      <w:r>
        <w:t xml:space="preserve">improve the overall accuracy and auditability of the PCF.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Confidential - Internal Use Only</w:t>
      </w:r>
    </w:p>
    <w:p>
      <w:pPr>
        <w:pStyle w:val="BodyText"/>
      </w:pPr>
      <w:r>
        <w:t xml:space="preserve">Page</w:t>
      </w:r>
      <w:r>
        <w:t xml:space="preserve"> </w:t>
      </w:r>
      <w:r>
        <w:t xml:space="preserve"> </w:t>
      </w:r>
      <w:r>
        <w:t xml:space="preserve">of</w:t>
      </w:r>
      <w:r>
        <w:t xml:space="preserve"> </w:t>
      </w:r>
    </w:p>
    <w:bookmarkEnd w:id="46"/>
    <w:bookmarkEnd w:id="47"/>
    <w:bookmarkEnd w:id="4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Carbon Footprint Report for retlshetnq - mhoiyundfi</dc:title>
  <dc:creator/>
  <dc:description>High-detail Product Carbon Footprint (PCF) analysis report for retlshetnq by syzxkpmlrr, Senior Sustainability Consultant at mhoiyundfi, adhering to GHG Protocol (2026 updates including LSR and 95% Scope 3 coverage).</dc:description>
  <dc:language>en</dc:language>
  <cp:keywords/>
  <dcterms:created xsi:type="dcterms:W3CDTF">2026-05-30T18:19:31Z</dcterms:created>
  <dcterms:modified xsi:type="dcterms:W3CDTF">2026-05-30T18:19:31Z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