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redkvxhyje</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for-redkvxhyje"/>
    <w:p>
      <w:pPr>
        <w:pStyle w:val="Heading1"/>
      </w:pPr>
      <w:r>
        <w:t xml:space="preserve">for redkvxhyje</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yrrisnxgqr</w:t>
      </w:r>
    </w:p>
    <w:p>
      <w:pPr>
        <w:pStyle w:val="BodyText"/>
      </w:pPr>
      <w:r>
        <w:rPr>
          <w:bCs/>
          <w:b/>
        </w:rPr>
        <w:t xml:space="preserve">Senior Sustainability Consultant:</w:t>
      </w:r>
      <w:r>
        <w:t xml:space="preserve"> </w:t>
      </w:r>
      <w:r>
        <w:t xml:space="preserve">hyyqgesxut</w:t>
      </w:r>
    </w:p>
    <w:p>
      <w:pPr>
        <w:pStyle w:val="BodyText"/>
      </w:pPr>
      <w:r>
        <w:t xml:space="preserve">This report is generated based on available data and industry standards, providing an estimate of the Product Carbon Footprint (PCF) for \'redkvxhyje\'.</w:t>
      </w:r>
    </w:p>
    <w:bookmarkEnd w:id="21"/>
    <w:bookmarkStart w:id="50"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hyyqgesxut</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\'redkvxhyje\' manufactured by \'yrrisnxgqr\'. As a Senior Sustainability Consultant specializing in GHG Protocol, hyyqgesxut has conducted this assessment to quantify the greenhouse gas (GHG) emissions associated with the product across its lifecycle. The analysis adheres to the GHG Protocol accounting standard, incorporating the latest 2026 Land Sector and Removals (LSR) update and ensuring at least 95% coverage for Scope 3 reporting. The findings identify emission hotspots and provide a foundational understanding for targeted emission reduction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for \'redkvxhyje\' is defined as follows:</w:t>
      </w:r>
    </w:p>
    <w:p>
      <w:pPr>
        <w:numPr>
          <w:ilvl w:val="0"/>
          <w:numId w:val="1001"/>
        </w:numPr>
        <w:pStyle w:val="Compact"/>
      </w:pPr>
      <w:r>
        <w:rPr>
          <w:bCs/>
          <w:b/>
        </w:rPr>
        <w:t xml:space="preserve">Functional Unit:</w:t>
      </w:r>
      <w:r>
        <w:t xml:space="preserve"> </w:t>
      </w:r>
      <w:r>
        <w:t xml:space="preserve">1.0 unit of redkvxhyje.</w:t>
      </w:r>
    </w:p>
    <w:p>
      <w:pPr>
        <w:numPr>
          <w:ilvl w:val="0"/>
          <w:numId w:val="1001"/>
        </w:numPr>
        <w:pStyle w:val="Compact"/>
      </w:pPr>
      <w:r>
        <w:rPr>
          <w:bCs/>
          <w:b/>
        </w:rPr>
        <w:t xml:space="preserve">System Boundary:</w:t>
      </w:r>
      <w:r>
        <w:t xml:space="preserve"> </w:t>
      </w:r>
      <w:r>
        <w:t xml:space="preserve">factory_gate. This boundary encompasses all processes from raw material acquisition, through manufacturing at the yrrisnxgqr facility, up to the point the finished product leaves the factory gate. For a comprehensive PCF, the analysis extends beyond the factory gate to include the use phase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 factors for energy are based on China\'s grid mix, while upstream material transport primarily considers European logistics.</w:t>
      </w:r>
    </w:p>
    <w:p>
      <w:pPr>
        <w:numPr>
          <w:ilvl w:val="0"/>
          <w:numId w:val="1001"/>
        </w:numPr>
        <w:pStyle w:val="Compact"/>
      </w:pPr>
      <w:r>
        <w:rPr>
          <w:bCs/>
          <w:b/>
        </w:rPr>
        <w:t xml:space="preserve">Accounting Standard:</w:t>
      </w:r>
      <w:r>
        <w:t xml:space="preserve"> </w:t>
      </w:r>
      <w:r>
        <w:t xml:space="preserve">GHG Protocol. Emissions are categorized into Scope 1, Scope 2, and Scope 3 as per GHG Protocol guidelines.</w:t>
      </w:r>
    </w:p>
    <w:p>
      <w:pPr>
        <w:numPr>
          <w:ilvl w:val="0"/>
          <w:numId w:val="1001"/>
        </w:numPr>
        <w:pStyle w:val="Compact"/>
      </w:pPr>
      <w:r>
        <w:rPr>
          <w:bCs/>
          <w:b/>
        </w:rPr>
        <w:t xml:space="preserve">Allocation:</w:t>
      </w:r>
      <w:r>
        <w:t xml:space="preserve"> </w:t>
      </w:r>
      <w:r>
        <w:t xml:space="preserve">All emissions are allocated directly to the functional unit of 1.0 unit of redkvxhyje, assuming no co-products for simplicity within this specific PCF.</w:t>
      </w:r>
    </w:p>
    <w:p>
      <w:r>
        <w:pict>
          <v:rect style="width:0;height:1.5pt" o:hralign="center" o:hrstd="t" o:hr="t"/>
        </w:pict>
      </w:r>
    </w:p>
    <w:bookmarkEnd w:id="23"/>
    <w:bookmarkStart w:id="24" w:name="map-lifecycle-lci-inventory-stages"/>
    <w:p>
      <w:pPr>
        <w:pStyle w:val="Heading2"/>
      </w:pPr>
      <w:r>
        <w:t xml:space="preserve">2. Map Lifecycle (LCI Inventory Stages)</w:t>
      </w:r>
    </w:p>
    <w:p>
      <w:pPr>
        <w:pStyle w:val="FirstParagraph"/>
      </w:pPr>
      <w:r>
        <w:t xml:space="preserve">The lifecycle of \'redkvxhyje\' has been mapped into the following stages, enabling a comprehensive Life Cycle Inventory (LCI) for emission calculation:</w:t>
      </w:r>
    </w:p>
    <w:p>
      <w:pPr>
        <w:numPr>
          <w:ilvl w:val="0"/>
          <w:numId w:val="1002"/>
        </w:numPr>
        <w:pStyle w:val="Compact"/>
      </w:pPr>
      <w:r>
        <w:rPr>
          <w:bCs/>
          <w:b/>
        </w:rPr>
        <w:t xml:space="preserve">Raw Material Acquisition &amp; Pre-processing (Scope 3 - Upstream):</w:t>
      </w:r>
      <w:r>
        <w:t xml:space="preserve"> </w:t>
      </w:r>
      <w:r>
        <w:t xml:space="preserve">This stage includes the extraction, processing, and initial manufacturing of all raw materials and components listed in the Detailed Bill of Materials (BOM).</w:t>
      </w:r>
    </w:p>
    <w:p>
      <w:pPr>
        <w:numPr>
          <w:ilvl w:val="0"/>
          <w:numId w:val="1002"/>
        </w:numPr>
        <w:pStyle w:val="Compact"/>
      </w:pPr>
      <w:r>
        <w:rPr>
          <w:bCs/>
          <w:b/>
        </w:rPr>
        <w:t xml:space="preserve">Manufacturing (Factory Gate - Scope 1 &amp; 2):</w:t>
      </w:r>
      <w:r>
        <w:t xml:space="preserve"> </w:t>
      </w:r>
      <w:r>
        <w:t xml:space="preserve">This covers the energy consumption during the production processes at yrrisnxgqr\'s facility in China.</w:t>
      </w:r>
    </w:p>
    <w:p>
      <w:pPr>
        <w:numPr>
          <w:ilvl w:val="1"/>
          <w:numId w:val="1003"/>
        </w:numPr>
        <w:pStyle w:val="Compact"/>
      </w:pPr>
      <w:r>
        <w:t xml:space="preserve">Scope 1: Direct emissions from owned or controlled sources (e.g., on-site fuel combustion). For this analysis, assuming no direct combustion at the factory, Scope 1 emissions are considered negligible.</w:t>
      </w:r>
    </w:p>
    <w:p>
      <w:pPr>
        <w:numPr>
          <w:ilvl w:val="1"/>
          <w:numId w:val="1003"/>
        </w:numPr>
        <w:pStyle w:val="Compact"/>
      </w:pPr>
      <w:r>
        <w:t xml:space="preserve">Scope 2: Indirect emissions from the generation of purchased electricity consumed by the factory.</w:t>
      </w:r>
    </w:p>
    <w:p>
      <w:pPr>
        <w:numPr>
          <w:ilvl w:val="0"/>
          <w:numId w:val="1002"/>
        </w:numPr>
        <w:pStyle w:val="Compact"/>
      </w:pPr>
      <w:r>
        <w:rPr>
          <w:bCs/>
          <w:b/>
        </w:rPr>
        <w:t xml:space="preserve">Transport (Scope 3 - Upstream &amp; Downstream):</w:t>
      </w:r>
      <w:r>
        <w:t xml:space="preserve"> </w:t>
      </w:r>
      <w:r>
        <w:t xml:space="preserve">This includes:</w:t>
      </w:r>
    </w:p>
    <w:p>
      <w:pPr>
        <w:numPr>
          <w:ilvl w:val="1"/>
          <w:numId w:val="1004"/>
        </w:numPr>
        <w:pStyle w:val="Compact"/>
      </w:pPr>
      <w:r>
        <w:t xml:space="preserve">Inbound Logistics: Transportation of raw materials and components from suppliers (Europe Focused) to the yrrisnxgqr manufacturing facility in China.</w:t>
      </w:r>
    </w:p>
    <w:p>
      <w:pPr>
        <w:numPr>
          <w:ilvl w:val="1"/>
          <w:numId w:val="1004"/>
        </w:numPr>
        <w:pStyle w:val="Compact"/>
      </w:pPr>
      <w:r>
        <w:t xml:space="preserve">Outbound Logistics: Transportation of the finished \'redkvxhyje\' product from the factory gate to the customer, including last-mile delivery.</w:t>
      </w:r>
    </w:p>
    <w:p>
      <w:pPr>
        <w:numPr>
          <w:ilvl w:val="0"/>
          <w:numId w:val="1002"/>
        </w:numPr>
        <w:pStyle w:val="Compact"/>
      </w:pPr>
      <w:r>
        <w:rPr>
          <w:bCs/>
          <w:b/>
        </w:rPr>
        <w:t xml:space="preserve">Use Phase (Scope 3 - Downstream):</w:t>
      </w:r>
      <w:r>
        <w:t xml:space="preserve"> </w:t>
      </w:r>
      <w:r>
        <w:t xml:space="preserve">This covers the energy consumption during the estimated lifespan of the \'redkvxhyje\' product by the end-user.</w:t>
      </w:r>
    </w:p>
    <w:p>
      <w:pPr>
        <w:numPr>
          <w:ilvl w:val="0"/>
          <w:numId w:val="1002"/>
        </w:numPr>
        <w:pStyle w:val="Compact"/>
      </w:pPr>
      <w:r>
        <w:rPr>
          <w:bCs/>
          <w:b/>
        </w:rPr>
        <w:t xml:space="preserve">End-of-Life (EoL) (Scope 3 - Downstream):</w:t>
      </w:r>
      <w:r>
        <w:t xml:space="preserve"> </w:t>
      </w:r>
      <w:r>
        <w:t xml:space="preserve">This stage accounts for the emissions and avoided emissions associated with the disposal, recycling, or recovery of \'redkvxhyje\' at the end of its useful life.</w:t>
      </w:r>
    </w:p>
    <w:p>
      <w:r>
        <w:pict>
          <v:rect style="width:0;height:1.5pt" o:hralign="center" o:hrstd="t" o:hr="t"/>
        </w:pict>
      </w:r>
    </w:p>
    <w:bookmarkEnd w:id="24"/>
    <w:bookmarkStart w:id="31" w:name="collect-data"/>
    <w:p>
      <w:pPr>
        <w:pStyle w:val="Heading2"/>
      </w:pPr>
      <w:r>
        <w:t xml:space="preserve">3. Collect Data</w:t>
      </w:r>
    </w:p>
    <w:p>
      <w:pPr>
        <w:pStyle w:val="FirstParagraph"/>
      </w:pPr>
      <w:r>
        <w:t xml:space="preserve">Data collection for this PCF analysis involved leveraging provided parameters and applying industry-standard emission factors where specific data was not available.</w:t>
      </w:r>
    </w:p>
    <w:bookmarkStart w:id="25" w:name="Xe00a69f00549ed97b2ab59b701ccf15fd84e6e2"/>
    <w:p>
      <w:pPr>
        <w:pStyle w:val="Heading3"/>
      </w:pPr>
      <w:r>
        <w:t xml:space="preserve">3.1. Detailed Bill of Materials (BOM) - uudijnmn (Illustrative)</w:t>
      </w:r>
    </w:p>
    <w:p>
      <w:pPr>
        <w:pStyle w:val="FirstParagraph"/>
      </w:pPr>
      <w:r>
        <w:t xml:space="preserve">The following illustrative Bill of Materials (BOM) for \'redkvxhyje\' (uudijnmn) has been used for high-accuracy material impact calculation. The \'Total Carbon\' values represent the embodied emissions of each material/component.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M002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Corrugation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bookmarkEnd w:id="25"/>
    <w:bookmarkStart w:id="26" w:name="logistics-data"/>
    <w:p>
      <w:pPr>
        <w:pStyle w:val="Heading3"/>
      </w:pPr>
      <w:r>
        <w:t xml:space="preserve">3.2. Logistics Data</w:t>
      </w:r>
    </w:p>
    <w:p>
      <w:pPr>
        <w:numPr>
          <w:ilvl w:val="0"/>
          <w:numId w:val="1005"/>
        </w:numPr>
        <w:pStyle w:val="Compact"/>
      </w:pPr>
      <w:r>
        <w:rPr>
          <w:bCs/>
          <w:b/>
        </w:rPr>
        <w:t xml:space="preserve">Transport Mode (Inbound/Outbound):</w:t>
      </w:r>
      <w:r>
        <w:t xml:space="preserve"> </w:t>
      </w:r>
      <w:r>
        <w:t xml:space="preserve">Select Mode (Assumed: Road Freight - Heavy Goods Vehicle (&gt;20t))</w:t>
      </w:r>
    </w:p>
    <w:p>
      <w:pPr>
        <w:numPr>
          <w:ilvl w:val="0"/>
          <w:numId w:val="1005"/>
        </w:numPr>
        <w:pStyle w:val="Compact"/>
      </w:pPr>
      <w:r>
        <w:rPr>
          <w:bCs/>
          <w:b/>
        </w:rPr>
        <w:t xml:space="preserve">Transport Distance (Average per unit):</w:t>
      </w:r>
      <w:r>
        <w:t xml:space="preserve"> </w:t>
      </w:r>
      <w:r>
        <w:t xml:space="preserve">ehshtgfdud (Assumed: 500 km for both inbound and outbound legs)</w:t>
      </w:r>
    </w:p>
    <w:p>
      <w:pPr>
        <w:numPr>
          <w:ilvl w:val="0"/>
          <w:numId w:val="1005"/>
        </w:numPr>
        <w:pStyle w:val="Compact"/>
      </w:pPr>
      <w:r>
        <w:rPr>
          <w:bCs/>
          <w:b/>
        </w:rPr>
        <w:t xml:space="preserve">Last-Mile Delivery Channel:</w:t>
      </w:r>
      <w:r>
        <w:t xml:space="preserve"> </w:t>
      </w:r>
      <w:r>
        <w:t xml:space="preserve">Delivery Type (Assumed: Small Parcel Courier, included in overall outbound transport estimate)</w:t>
      </w:r>
    </w:p>
    <w:bookmarkEnd w:id="26"/>
    <w:bookmarkStart w:id="27" w:name="production-energy-data"/>
    <w:p>
      <w:pPr>
        <w:pStyle w:val="Heading3"/>
      </w:pPr>
      <w:r>
        <w:t xml:space="preserve">3.3. Production Energy Data</w:t>
      </w:r>
    </w:p>
    <w:p>
      <w:pPr>
        <w:numPr>
          <w:ilvl w:val="0"/>
          <w:numId w:val="1006"/>
        </w:numPr>
        <w:pStyle w:val="Compact"/>
      </w:pPr>
      <w:r>
        <w:rPr>
          <w:bCs/>
          <w:b/>
        </w:rPr>
        <w:t xml:space="preserve">Renewable Energy Usage:</w:t>
      </w:r>
      <w:r>
        <w:t xml:space="preserve"> </w:t>
      </w:r>
      <w:r>
        <w:t xml:space="preserve">repgzyrywu (Assumed: 60% of manufacturing energy)</w:t>
      </w:r>
    </w:p>
    <w:p>
      <w:pPr>
        <w:numPr>
          <w:ilvl w:val="0"/>
          <w:numId w:val="1006"/>
        </w:numPr>
        <w:pStyle w:val="Compact"/>
      </w:pPr>
      <w:r>
        <w:rPr>
          <w:bCs/>
          <w:b/>
        </w:rPr>
        <w:t xml:space="preserve">Energy Intensity (kWh/unit):</w:t>
      </w:r>
      <w:r>
        <w:t xml:space="preserve"> </w:t>
      </w:r>
      <w:r>
        <w:t xml:space="preserve">sqsiqhrzrs (Assumed: 15 kWh/unit)</w:t>
      </w:r>
    </w:p>
    <w:bookmarkEnd w:id="27"/>
    <w:bookmarkStart w:id="28"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ywqeyvwenv (Assumed: 5 years)</w:t>
      </w:r>
    </w:p>
    <w:p>
      <w:pPr>
        <w:numPr>
          <w:ilvl w:val="0"/>
          <w:numId w:val="1007"/>
        </w:numPr>
        <w:pStyle w:val="Compact"/>
      </w:pPr>
      <w:r>
        <w:rPr>
          <w:bCs/>
          <w:b/>
        </w:rPr>
        <w:t xml:space="preserve">Energy Consumption in Use:</w:t>
      </w:r>
      <w:r>
        <w:t xml:space="preserve"> </w:t>
      </w:r>
      <w:r>
        <w:t xml:space="preserve">tpoorkwhgo (Assumed: 10 kWh/year)</w:t>
      </w:r>
    </w:p>
    <w:bookmarkEnd w:id="28"/>
    <w:bookmarkStart w:id="29"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yjyumuzzzp (Assumed: 80%)</w:t>
      </w:r>
    </w:p>
    <w:p>
      <w:pPr>
        <w:numPr>
          <w:ilvl w:val="0"/>
          <w:numId w:val="1008"/>
        </w:numPr>
        <w:pStyle w:val="Compact"/>
      </w:pPr>
      <w:r>
        <w:rPr>
          <w:bCs/>
          <w:b/>
        </w:rPr>
        <w:t xml:space="preserve">Circular/Take-back Programs:</w:t>
      </w:r>
      <w:r>
        <w:t xml:space="preserve"> </w:t>
      </w:r>
      <w:r>
        <w:t xml:space="preserve">lxyymxgten (Assumed: Existing local product take-back and recycling initiatives)</w:t>
      </w:r>
    </w:p>
    <w:bookmarkEnd w:id="29"/>
    <w:bookmarkStart w:id="30" w:name="emission-factors-used-industry-standard"/>
    <w:p>
      <w:pPr>
        <w:pStyle w:val="Heading3"/>
      </w:pPr>
      <w:r>
        <w:t xml:space="preserve">3.6. Emission Factors Used (Industry-Standard)</w:t>
      </w:r>
    </w:p>
    <w:p>
      <w:pPr>
        <w:numPr>
          <w:ilvl w:val="0"/>
          <w:numId w:val="1009"/>
        </w:numPr>
        <w:pStyle w:val="Compact"/>
      </w:pPr>
      <w:r>
        <w:rPr>
          <w:bCs/>
          <w:b/>
        </w:rPr>
        <w:t xml:space="preserve">Road Freight (Europe, HGV &gt; 20t):</w:t>
      </w:r>
      <w:r>
        <w:t xml:space="preserve"> </w:t>
      </w:r>
      <w:r>
        <w:t xml:space="preserve">0.092 kg CO2e/tonne-km</w:t>
      </w:r>
    </w:p>
    <w:p>
      <w:pPr>
        <w:numPr>
          <w:ilvl w:val="0"/>
          <w:numId w:val="1009"/>
        </w:numPr>
        <w:pStyle w:val="Compact"/>
      </w:pPr>
      <w:r>
        <w:rPr>
          <w:bCs/>
          <w:b/>
        </w:rPr>
        <w:t xml:space="preserve">Electricity Grid Mix (China):</w:t>
      </w:r>
      <w:r>
        <w:t xml:space="preserve"> </w:t>
      </w:r>
      <w:r>
        <w:t xml:space="preserve">0.577 kg CO2e/kWh</w:t>
      </w:r>
    </w:p>
    <w:p>
      <w:pPr>
        <w:numPr>
          <w:ilvl w:val="0"/>
          <w:numId w:val="1009"/>
        </w:numPr>
        <w:pStyle w:val="Compact"/>
      </w:pPr>
      <w:r>
        <w:rPr>
          <w:bCs/>
          <w:b/>
        </w:rPr>
        <w:t xml:space="preserve">Renewable Electricity (Life Cycle):</w:t>
      </w:r>
      <w:r>
        <w:t xml:space="preserve"> </w:t>
      </w:r>
      <w:r>
        <w:t xml:space="preserve">0.025 kg CO2e/kWh (e.g., Solar PV life cycle emissions)</w:t>
      </w:r>
    </w:p>
    <w:p>
      <w:pPr>
        <w:numPr>
          <w:ilvl w:val="0"/>
          <w:numId w:val="1009"/>
        </w:numPr>
        <w:pStyle w:val="Compact"/>
      </w:pPr>
      <w:r>
        <w:rPr>
          <w:bCs/>
          <w:b/>
        </w:rPr>
        <w:t xml:space="preserve">Virgin Material Emission Factors:</w:t>
      </w:r>
      <w:r>
        <w:t xml:space="preserve"> </w:t>
      </w:r>
      <w:r>
        <w:t xml:space="preserve">As per BOM (uudijnmn), used for calculating avoided emissions for recycled content.</w:t>
      </w:r>
    </w:p>
    <w:p>
      <w:pPr>
        <w:numPr>
          <w:ilvl w:val="0"/>
          <w:numId w:val="1009"/>
        </w:numPr>
        <w:pStyle w:val="Compact"/>
      </w:pPr>
      <w:r>
        <w:rPr>
          <w:bCs/>
          <w:b/>
        </w:rPr>
        <w:t xml:space="preserve">Disposal (Landfill):</w:t>
      </w:r>
      <w:r>
        <w:t xml:space="preserve"> </w:t>
      </w:r>
      <w:r>
        <w:t xml:space="preserve">Assumed 0.1 kg CO2e/kg for non-recycled waste.</w:t>
      </w:r>
    </w:p>
    <w:p>
      <w:r>
        <w:pict>
          <v:rect style="width:0;height:1.5pt" o:hralign="center" o:hrstd="t" o:hr="t"/>
        </w:pict>
      </w:r>
    </w:p>
    <w:bookmarkEnd w:id="30"/>
    <w:bookmarkEnd w:id="31"/>
    <w:bookmarkStart w:id="45" w:name="calculate-emissions"/>
    <w:p>
      <w:pPr>
        <w:pStyle w:val="Heading2"/>
      </w:pPr>
      <w:r>
        <w:t xml:space="preserve">4. Calculate Emissions</w:t>
      </w:r>
    </w:p>
    <w:p>
      <w:pPr>
        <w:pStyle w:val="FirstParagraph"/>
      </w:pPr>
      <w:r>
        <w:t xml:space="preserve">Emissions for each lifecycle stage have been calculated based on the activity data and the respective emission factors, categorized according to the GHG Protocol. All calculations ensure at least 95% coverage for Scope 3 reporting.</w:t>
      </w:r>
    </w:p>
    <w:bookmarkStart w:id="32" w:name="Xff31e690bfe279af69cf88b9219fe5d56042afb"/>
    <w:p>
      <w:pPr>
        <w:pStyle w:val="Heading3"/>
      </w:pPr>
      <w:r>
        <w:t xml:space="preserve">4.1. Raw Material Acquisition &amp; Pre-processing (Scope 3 - Upstream)</w:t>
      </w:r>
    </w:p>
    <w:p>
      <w:pPr>
        <w:pStyle w:val="FirstParagraph"/>
      </w:pPr>
      <w:r>
        <w:t xml:space="preserve">Based on the provided BOM (uudijnmn), the total embodied carbon from materials is directly summed.</w:t>
      </w:r>
    </w:p>
    <w:p>
      <w:pPr>
        <w:numPr>
          <w:ilvl w:val="0"/>
          <w:numId w:val="1010"/>
        </w:numPr>
        <w:pStyle w:val="Compact"/>
      </w:pPr>
      <w:r>
        <w:t xml:space="preserve">Total Material Embodied Carbon (from BOM): 4.0 + 0.7 + 2.5 + 0.4 + 0.24 =</w:t>
      </w:r>
      <w:r>
        <w:t xml:space="preserve"> </w:t>
      </w:r>
      <w:r>
        <w:rPr>
          <w:bCs/>
          <w:b/>
        </w:rPr>
        <w:t xml:space="preserve">7.84 kg CO2e</w:t>
      </w:r>
    </w:p>
    <w:bookmarkEnd w:id="32"/>
    <w:bookmarkStart w:id="35" w:name="manufacturing-factory-gate"/>
    <w:p>
      <w:pPr>
        <w:pStyle w:val="Heading3"/>
      </w:pPr>
      <w:r>
        <w:t xml:space="preserve">4.2. Manufacturing (Factory Gate)</w:t>
      </w:r>
    </w:p>
    <w:bookmarkStart w:id="33" w:name="scope-1-direct-emissions"/>
    <w:p>
      <w:pPr>
        <w:pStyle w:val="Heading4"/>
      </w:pPr>
      <w:r>
        <w:t xml:space="preserve">Scope 1: Direct Emissions</w:t>
      </w:r>
    </w:p>
    <w:p>
      <w:pPr>
        <w:pStyle w:val="FirstParagraph"/>
      </w:pPr>
      <w:r>
        <w:t xml:space="preserve">As no specific direct fuel combustion data for the factory is provided and the boundary is \'factory_gate\', Scope 1 emissions are assumed to be negligible for this product unit.</w:t>
      </w:r>
    </w:p>
    <w:p>
      <w:pPr>
        <w:numPr>
          <w:ilvl w:val="0"/>
          <w:numId w:val="1011"/>
        </w:numPr>
        <w:pStyle w:val="Compact"/>
      </w:pPr>
      <w:r>
        <w:t xml:space="preserve">Scope 1 Emissions:</w:t>
      </w:r>
      <w:r>
        <w:t xml:space="preserve"> </w:t>
      </w:r>
      <w:r>
        <w:rPr>
          <w:bCs/>
          <w:b/>
        </w:rPr>
        <w:t xml:space="preserve">0.00 kg CO2e</w:t>
      </w:r>
    </w:p>
    <w:bookmarkEnd w:id="33"/>
    <w:bookmarkStart w:id="34" w:name="scope-2-purchased-electricity-emissions"/>
    <w:p>
      <w:pPr>
        <w:pStyle w:val="Heading4"/>
      </w:pPr>
      <w:r>
        <w:t xml:space="preserve">Scope 2: Purchased Electricity Emissions</w:t>
      </w:r>
    </w:p>
    <w:p>
      <w:pPr>
        <w:numPr>
          <w:ilvl w:val="0"/>
          <w:numId w:val="1012"/>
        </w:numPr>
        <w:pStyle w:val="Compact"/>
      </w:pPr>
      <w:r>
        <w:t xml:space="preserve">Total Energy Intensity: 15 kWh/unit (sqsiqhrzrs)</w:t>
      </w:r>
    </w:p>
    <w:p>
      <w:pPr>
        <w:numPr>
          <w:ilvl w:val="0"/>
          <w:numId w:val="1012"/>
        </w:numPr>
        <w:pStyle w:val="Compact"/>
      </w:pPr>
      <w:r>
        <w:t xml:space="preserve">Renewable Energy Usage: 60% (repgzyrywu)</w:t>
      </w:r>
    </w:p>
    <w:p>
      <w:pPr>
        <w:numPr>
          <w:ilvl w:val="0"/>
          <w:numId w:val="1012"/>
        </w:numPr>
        <w:pStyle w:val="Compact"/>
      </w:pPr>
      <w:r>
        <w:t xml:space="preserve">Energy from Renewables: 15 kWh/unit * 0.60 = 9 kWh/unit</w:t>
      </w:r>
    </w:p>
    <w:p>
      <w:pPr>
        <w:numPr>
          <w:ilvl w:val="0"/>
          <w:numId w:val="1012"/>
        </w:numPr>
        <w:pStyle w:val="Compact"/>
      </w:pPr>
      <w:r>
        <w:t xml:space="preserve">Energy from Grid: 15 kWh/unit * (1 - 0.60) = 6 kWh/unit</w:t>
      </w:r>
    </w:p>
    <w:p>
      <w:pPr>
        <w:numPr>
          <w:ilvl w:val="0"/>
          <w:numId w:val="1012"/>
        </w:numPr>
        <w:pStyle w:val="Compact"/>
      </w:pPr>
      <w:r>
        <w:t xml:space="preserve">Emissions from Renewables: 9 kWh/unit * 0.025 kg CO2e/kWh = 0.225 kg CO2e</w:t>
      </w:r>
    </w:p>
    <w:p>
      <w:pPr>
        <w:numPr>
          <w:ilvl w:val="0"/>
          <w:numId w:val="1012"/>
        </w:numPr>
        <w:pStyle w:val="Compact"/>
      </w:pPr>
      <w:r>
        <w:t xml:space="preserve">Emissions from Grid (China): 6 kWh/unit * 0.577 kg CO2e/kWh = 3.462 kg CO2e</w:t>
      </w:r>
    </w:p>
    <w:p>
      <w:pPr>
        <w:numPr>
          <w:ilvl w:val="0"/>
          <w:numId w:val="1012"/>
        </w:numPr>
        <w:pStyle w:val="Compact"/>
      </w:pPr>
      <w:r>
        <w:t xml:space="preserve">Total Scope 2 Emissions: 0.225 + 3.462 =</w:t>
      </w:r>
      <w:r>
        <w:t xml:space="preserve"> </w:t>
      </w:r>
      <w:r>
        <w:rPr>
          <w:bCs/>
          <w:b/>
        </w:rPr>
        <w:t xml:space="preserve">3.69 kg CO2e</w:t>
      </w:r>
    </w:p>
    <w:bookmarkEnd w:id="34"/>
    <w:bookmarkEnd w:id="35"/>
    <w:bookmarkStart w:id="38" w:name="transport-scope-3---upstream-downstream"/>
    <w:p>
      <w:pPr>
        <w:pStyle w:val="Heading3"/>
      </w:pPr>
      <w:r>
        <w:t xml:space="preserve">4.3. Transport (Scope 3 - Upstream &amp; Downstream)</w:t>
      </w:r>
    </w:p>
    <w:p>
      <w:pPr>
        <w:pStyle w:val="FirstParagraph"/>
      </w:pPr>
      <w:r>
        <w:t xml:space="preserve">Assuming a product unit weight of 1.0 kg (for redkvxhyje), and a total material weight of 1.5 kg from the illustrative BOM (0.5+0.2+1.0+0.1+0.3, PCB assumed 1 unit = 0.5kg for transport weight calculation for example, total 2.6kg). Let\'s use 2.6 kg as an approximate transport weight for inbound materials and 1.5 kg for the final product outbound, considering the packaging.</w:t>
      </w:r>
    </w:p>
    <w:p>
      <w:pPr>
        <w:numPr>
          <w:ilvl w:val="0"/>
          <w:numId w:val="1013"/>
        </w:numPr>
        <w:pStyle w:val="Compact"/>
      </w:pPr>
      <w:r>
        <w:t xml:space="preserve">Transport Distance: 500 km (ehshtgfdud)</w:t>
      </w:r>
    </w:p>
    <w:p>
      <w:pPr>
        <w:numPr>
          <w:ilvl w:val="0"/>
          <w:numId w:val="1013"/>
        </w:numPr>
        <w:pStyle w:val="Compact"/>
      </w:pPr>
      <w:r>
        <w:t xml:space="preserve">Road Freight Emission Factor: 0.092 kg CO2e/tonne-km</w:t>
      </w:r>
    </w:p>
    <w:bookmarkStart w:id="36" w:name="X6a137e9ed4f14a70a81642310e970327a62d92c"/>
    <w:p>
      <w:pPr>
        <w:pStyle w:val="Heading4"/>
      </w:pPr>
      <w:r>
        <w:t xml:space="preserve">Inbound Logistics (Raw Materials &amp; Components)</w:t>
      </w:r>
    </w:p>
    <w:p>
      <w:pPr>
        <w:numPr>
          <w:ilvl w:val="0"/>
          <w:numId w:val="1014"/>
        </w:numPr>
        <w:pStyle w:val="Compact"/>
      </w:pPr>
      <w:r>
        <w:t xml:space="preserve">Estimated total weight of inbound materials (incl. packaging): 2.6 kg = 0.0026 tonnes</w:t>
      </w:r>
    </w:p>
    <w:p>
      <w:pPr>
        <w:numPr>
          <w:ilvl w:val="0"/>
          <w:numId w:val="1014"/>
        </w:numPr>
        <w:pStyle w:val="Compact"/>
      </w:pPr>
      <w:r>
        <w:t xml:space="preserve">Inbound Transport Emissions: 0.0026 tonnes * 500 km * 0.092 kg CO2e/tonne-km =</w:t>
      </w:r>
      <w:r>
        <w:t xml:space="preserve"> </w:t>
      </w:r>
      <w:r>
        <w:rPr>
          <w:bCs/>
          <w:b/>
        </w:rPr>
        <w:t xml:space="preserve">0.1196 kg CO2e</w:t>
      </w:r>
    </w:p>
    <w:bookmarkEnd w:id="36"/>
    <w:bookmarkStart w:id="37" w:name="Xf7de2a2ec6c5a584f1fedaf6358c895e4fb93f8"/>
    <w:p>
      <w:pPr>
        <w:pStyle w:val="Heading4"/>
      </w:pPr>
      <w:r>
        <w:t xml:space="preserve">Outbound Logistics (Finished Product, including Last-Mile Delivery)</w:t>
      </w:r>
    </w:p>
    <w:p>
      <w:pPr>
        <w:numPr>
          <w:ilvl w:val="0"/>
          <w:numId w:val="1015"/>
        </w:numPr>
        <w:pStyle w:val="Compact"/>
      </w:pPr>
      <w:r>
        <w:t xml:space="preserve">Estimated finished product weight (incl. packaging): 1.5 kg = 0.0015 tonnes</w:t>
      </w:r>
    </w:p>
    <w:p>
      <w:pPr>
        <w:numPr>
          <w:ilvl w:val="0"/>
          <w:numId w:val="1015"/>
        </w:numPr>
        <w:pStyle w:val="Compact"/>
      </w:pPr>
      <w:r>
        <w:t xml:space="preserve">Outbound Transport Emissions: 0.0015 tonnes * 500 km * 0.092 kg CO2e/tonne-km =</w:t>
      </w:r>
      <w:r>
        <w:t xml:space="preserve"> </w:t>
      </w:r>
      <w:r>
        <w:rPr>
          <w:bCs/>
          <w:b/>
        </w:rPr>
        <w:t xml:space="preserve">0.069 kg CO2e</w:t>
      </w:r>
    </w:p>
    <w:p>
      <w:pPr>
        <w:numPr>
          <w:ilvl w:val="0"/>
          <w:numId w:val="1016"/>
        </w:numPr>
        <w:pStyle w:val="Compact"/>
      </w:pPr>
      <w:r>
        <w:t xml:space="preserve">Total Transport Emissions: 0.1196 + 0.069 =</w:t>
      </w:r>
      <w:r>
        <w:t xml:space="preserve"> </w:t>
      </w:r>
      <w:r>
        <w:rPr>
          <w:bCs/>
          <w:b/>
        </w:rPr>
        <w:t xml:space="preserve">0.1886 kg CO2e</w:t>
      </w:r>
    </w:p>
    <w:bookmarkEnd w:id="37"/>
    <w:bookmarkEnd w:id="38"/>
    <w:bookmarkStart w:id="39" w:name="use-phase-scope-3---downstream"/>
    <w:p>
      <w:pPr>
        <w:pStyle w:val="Heading3"/>
      </w:pPr>
      <w:r>
        <w:t xml:space="preserve">4.4. Use Phase (Scope 3 - Downstream)</w:t>
      </w:r>
    </w:p>
    <w:p>
      <w:pPr>
        <w:pStyle w:val="FirstParagraph"/>
      </w:pPr>
      <w:r>
        <w:t xml:space="preserve">Energy consumption during the product\'s lifespan is accounted for.</w:t>
      </w:r>
    </w:p>
    <w:p>
      <w:pPr>
        <w:numPr>
          <w:ilvl w:val="0"/>
          <w:numId w:val="1017"/>
        </w:numPr>
        <w:pStyle w:val="Compact"/>
      </w:pPr>
      <w:r>
        <w:t xml:space="preserve">Product Lifespan: 5 years (ywqeyvwenv)</w:t>
      </w:r>
    </w:p>
    <w:p>
      <w:pPr>
        <w:numPr>
          <w:ilvl w:val="0"/>
          <w:numId w:val="1017"/>
        </w:numPr>
        <w:pStyle w:val="Compact"/>
      </w:pPr>
      <w:r>
        <w:t xml:space="preserve">Energy Consumption in Use: 10 kWh/year (tpoorkwhgo)</w:t>
      </w:r>
    </w:p>
    <w:p>
      <w:pPr>
        <w:numPr>
          <w:ilvl w:val="0"/>
          <w:numId w:val="1017"/>
        </w:numPr>
        <w:pStyle w:val="Compact"/>
      </w:pPr>
      <w:r>
        <w:t xml:space="preserve">Total Energy Consumption over Lifespan: 5 years * 10 kWh/year = 50 kWh</w:t>
      </w:r>
    </w:p>
    <w:p>
      <w:pPr>
        <w:numPr>
          <w:ilvl w:val="0"/>
          <w:numId w:val="1017"/>
        </w:numPr>
        <w:pStyle w:val="Compact"/>
      </w:pPr>
      <w:r>
        <w:t xml:space="preserve">Assumed Electricity Grid Mix for Use Phase (China Average): 0.577 kg CO2e/kWh</w:t>
      </w:r>
    </w:p>
    <w:p>
      <w:pPr>
        <w:numPr>
          <w:ilvl w:val="0"/>
          <w:numId w:val="1017"/>
        </w:numPr>
        <w:pStyle w:val="Compact"/>
      </w:pPr>
      <w:r>
        <w:t xml:space="preserve">Use Phase Emissions: 50 kWh * 0.577 kg CO2e/kWh =</w:t>
      </w:r>
      <w:r>
        <w:t xml:space="preserve"> </w:t>
      </w:r>
      <w:r>
        <w:rPr>
          <w:bCs/>
          <w:b/>
        </w:rPr>
        <w:t xml:space="preserve">28.85 kg CO2e</w:t>
      </w:r>
    </w:p>
    <w:bookmarkEnd w:id="39"/>
    <w:bookmarkStart w:id="42" w:name="end-of-life-eol-scope-3---downstream"/>
    <w:p>
      <w:pPr>
        <w:pStyle w:val="Heading3"/>
      </w:pPr>
      <w:r>
        <w:t xml:space="preserve">4.5. End-of-Life (EoL) (Scope 3 - Downstream)</w:t>
      </w:r>
    </w:p>
    <w:p>
      <w:pPr>
        <w:pStyle w:val="FirstParagraph"/>
      </w:pPr>
      <w:r>
        <w:t xml:space="preserve">The EoL scenario considers recyclability and circular programs to estimate net emissions or avoided emissions.</w:t>
      </w:r>
    </w:p>
    <w:p>
      <w:pPr>
        <w:numPr>
          <w:ilvl w:val="0"/>
          <w:numId w:val="1018"/>
        </w:numPr>
        <w:pStyle w:val="Compact"/>
      </w:pPr>
      <w:r>
        <w:t xml:space="preserve">Product Weight at EoL (approximate, excluding packaging waste disposed separately): 1.2 kg (e.g., Aluminium 0.5kg + Plastic 0.2kg + PCB 0.5kg) = 1.2 kg</w:t>
      </w:r>
    </w:p>
    <w:p>
      <w:pPr>
        <w:numPr>
          <w:ilvl w:val="0"/>
          <w:numId w:val="1018"/>
        </w:numPr>
        <w:pStyle w:val="Compact"/>
      </w:pPr>
      <w:r>
        <w:t xml:space="preserve">Recyclability Percentage: 80% (yjyumuzzzp)</w:t>
      </w:r>
    </w:p>
    <w:p>
      <w:pPr>
        <w:numPr>
          <w:ilvl w:val="0"/>
          <w:numId w:val="1018"/>
        </w:numPr>
        <w:pStyle w:val="Compact"/>
      </w:pPr>
      <w:r>
        <w:t xml:space="preserve">Circular/Take-back Programs: lxyymxgten (Reflected in high recyclability percentage and assumption of efficient recycling)</w:t>
      </w:r>
    </w:p>
    <w:bookmarkStart w:id="40" w:name="avoided-emissions-from-recycling"/>
    <w:p>
      <w:pPr>
        <w:pStyle w:val="Heading4"/>
      </w:pPr>
      <w:r>
        <w:t xml:space="preserve">Avoided Emissions from Recycling</w:t>
      </w:r>
    </w:p>
    <w:p>
      <w:pPr>
        <w:pStyle w:val="FirstParagraph"/>
      </w:pPr>
      <w:r>
        <w:t xml:space="preserve">Assuming the recycled portion avoids the production of virgin materials. For illustrative purposes, an average avoided emission factor of 80% of the virgin material\'s embodied carbon is used for the recyclable mass, relative to the main components like Aluminium and Plastic.</w:t>
      </w:r>
    </w:p>
    <w:p>
      <w:pPr>
        <w:numPr>
          <w:ilvl w:val="0"/>
          <w:numId w:val="1019"/>
        </w:numPr>
        <w:pStyle w:val="Compact"/>
      </w:pPr>
      <w:r>
        <w:t xml:space="preserve">Recycled Mass: 1.2 kg * 0.80 = 0.96 kg</w:t>
      </w:r>
    </w:p>
    <w:p>
      <w:pPr>
        <w:numPr>
          <w:ilvl w:val="0"/>
          <w:numId w:val="1019"/>
        </w:numPr>
        <w:pStyle w:val="Compact"/>
      </w:pPr>
      <w:r>
        <w:t xml:space="preserve">Embodied carbon of major recyclable components (Aluminium, Plastic): 4.0 kg CO2e + 0.7 kg CO2e = 4.7 kg CO2e for the given quantities in BOM. If we assume the 0.96kg of recycled content displaces similar materials, it\'s complex to assign precise avoided emissions without a detailed EoL model. For simplicity, let\'s assume a generic avoided factor per kg of recycled material, or relate it back to the material embodied carbon.</w:t>
      </w:r>
    </w:p>
    <w:p>
      <w:pPr>
        <w:numPr>
          <w:ilvl w:val="0"/>
          <w:numId w:val="1019"/>
        </w:numPr>
        <w:pStyle w:val="Compact"/>
      </w:pPr>
      <w:r>
        <w:t xml:space="preserve">Let\'s take the total embodied carbon of the main product components (excluding packaging) from BOM = 4.0 + 0.7 + 2.5 + 0.4 = 7.6 kg CO2e.</w:t>
      </w:r>
    </w:p>
    <w:p>
      <w:pPr>
        <w:numPr>
          <w:ilvl w:val="0"/>
          <w:numId w:val="1019"/>
        </w:numPr>
        <w:pStyle w:val="Compact"/>
      </w:pPr>
      <w:r>
        <w:t xml:space="preserve">Avoided Emissions: (7.6 kg CO2e / 1.2 kg product mass) * 0.96 kg recycled mass * 0.80 (avoidance factor) = 6.33 * 0.96 * 0.80 =</w:t>
      </w:r>
      <w:r>
        <w:t xml:space="preserve"> </w:t>
      </w:r>
      <w:r>
        <w:rPr>
          <w:bCs/>
          <w:b/>
        </w:rPr>
        <w:t xml:space="preserve">4.86 kg CO2e avoided</w:t>
      </w:r>
    </w:p>
    <w:bookmarkEnd w:id="40"/>
    <w:bookmarkStart w:id="41" w:name="emissions-from-disposal-landfill"/>
    <w:p>
      <w:pPr>
        <w:pStyle w:val="Heading4"/>
      </w:pPr>
      <w:r>
        <w:t xml:space="preserve">Emissions from Disposal (Landfill)</w:t>
      </w:r>
    </w:p>
    <w:p>
      <w:pPr>
        <w:numPr>
          <w:ilvl w:val="0"/>
          <w:numId w:val="1020"/>
        </w:numPr>
        <w:pStyle w:val="Compact"/>
      </w:pPr>
      <w:r>
        <w:t xml:space="preserve">Disposed Mass: 1.2 kg * (1 - 0.80) = 0.24 kg</w:t>
      </w:r>
    </w:p>
    <w:p>
      <w:pPr>
        <w:numPr>
          <w:ilvl w:val="0"/>
          <w:numId w:val="1020"/>
        </w:numPr>
        <w:pStyle w:val="Compact"/>
      </w:pPr>
      <w:r>
        <w:t xml:space="preserve">Disposal Emission Factor: 0.1 kg CO2e/kg (illustrative)</w:t>
      </w:r>
    </w:p>
    <w:p>
      <w:pPr>
        <w:numPr>
          <w:ilvl w:val="0"/>
          <w:numId w:val="1020"/>
        </w:numPr>
        <w:pStyle w:val="Compact"/>
      </w:pPr>
      <w:r>
        <w:t xml:space="preserve">Disposal Emissions: 0.24 kg * 0.1 kg CO2e/kg =</w:t>
      </w:r>
      <w:r>
        <w:t xml:space="preserve"> </w:t>
      </w:r>
      <w:r>
        <w:rPr>
          <w:bCs/>
          <w:b/>
        </w:rPr>
        <w:t xml:space="preserve">0.024 kg CO2e</w:t>
      </w:r>
    </w:p>
    <w:p>
      <w:pPr>
        <w:numPr>
          <w:ilvl w:val="0"/>
          <w:numId w:val="1021"/>
        </w:numPr>
        <w:pStyle w:val="Compact"/>
      </w:pPr>
      <w:r>
        <w:t xml:space="preserve">Net End-of-Life Emissions: 0.024 kg CO2e - 4.86 kg CO2e (avoided) =</w:t>
      </w:r>
      <w:r>
        <w:t xml:space="preserve"> </w:t>
      </w:r>
      <w:r>
        <w:rPr>
          <w:bCs/>
          <w:b/>
        </w:rPr>
        <w:t xml:space="preserve">-4.836 kg CO2e</w:t>
      </w:r>
      <w:r>
        <w:t xml:space="preserve"> </w:t>
      </w:r>
      <w:r>
        <w:t xml:space="preserve">(net removal/credit)</w:t>
      </w:r>
    </w:p>
    <w:bookmarkEnd w:id="41"/>
    <w:bookmarkEnd w:id="42"/>
    <w:bookmarkStart w:id="43" w:name="total-product-carbon-footprint-pcf"/>
    <w:p>
      <w:pPr>
        <w:pStyle w:val="Heading3"/>
      </w:pPr>
      <w:r>
        <w:t xml:space="preserve">4.6. Total Product Carbon Footprint (PCF)</w:t>
      </w:r>
    </w:p>
    <w:p>
      <w:pPr>
        <w:pStyle w:val="FirstParagraph"/>
      </w:pPr>
      <w:r>
        <w:t xml:space="preserve">Summing up emissions from all lifecycle stages:</w:t>
      </w:r>
    </w:p>
    <w:p>
      <w:pPr>
        <w:numPr>
          <w:ilvl w:val="0"/>
          <w:numId w:val="1022"/>
        </w:numPr>
        <w:pStyle w:val="Compact"/>
      </w:pPr>
      <w:r>
        <w:t xml:space="preserve">Raw Material Acquisition &amp; Pre-processing (Scope 3): 7.84 kg CO2e</w:t>
      </w:r>
    </w:p>
    <w:p>
      <w:pPr>
        <w:numPr>
          <w:ilvl w:val="0"/>
          <w:numId w:val="1022"/>
        </w:numPr>
        <w:pStyle w:val="Compact"/>
      </w:pPr>
      <w:r>
        <w:t xml:space="preserve">Manufacturing (Scope 1): 0.00 kg CO2e</w:t>
      </w:r>
    </w:p>
    <w:p>
      <w:pPr>
        <w:numPr>
          <w:ilvl w:val="0"/>
          <w:numId w:val="1022"/>
        </w:numPr>
        <w:pStyle w:val="Compact"/>
      </w:pPr>
      <w:r>
        <w:t xml:space="preserve">Manufacturing (Scope 2): 3.69 kg CO2e</w:t>
      </w:r>
    </w:p>
    <w:p>
      <w:pPr>
        <w:numPr>
          <w:ilvl w:val="0"/>
          <w:numId w:val="1022"/>
        </w:numPr>
        <w:pStyle w:val="Compact"/>
      </w:pPr>
      <w:r>
        <w:t xml:space="preserve">Transport (Scope 3): 0.1886 kg CO2e</w:t>
      </w:r>
    </w:p>
    <w:p>
      <w:pPr>
        <w:numPr>
          <w:ilvl w:val="0"/>
          <w:numId w:val="1022"/>
        </w:numPr>
        <w:pStyle w:val="Compact"/>
      </w:pPr>
      <w:r>
        <w:t xml:space="preserve">Use Phase (Scope 3): 28.85 kg CO2e</w:t>
      </w:r>
    </w:p>
    <w:p>
      <w:pPr>
        <w:numPr>
          <w:ilvl w:val="0"/>
          <w:numId w:val="1022"/>
        </w:numPr>
        <w:pStyle w:val="Compact"/>
      </w:pPr>
      <w:r>
        <w:t xml:space="preserve">End-of-Life (Scope 3): -4.836 kg CO2e</w:t>
      </w:r>
    </w:p>
    <w:p>
      <w:pPr>
        <w:pStyle w:val="FirstParagraph"/>
      </w:pPr>
      <w:r>
        <w:rPr>
          <w:bCs/>
          <w:b/>
        </w:rPr>
        <w:t xml:space="preserve">Total PCF for redkvxhyje: 7.84 + 0.00 + 3.69 + 0.1886 + 28.85 - 4.836 = 35.7326 kg CO2e per unit</w:t>
      </w:r>
    </w:p>
    <w:bookmarkEnd w:id="43"/>
    <w:bookmarkStart w:id="44" w:name="ghg-protocol-emission-categorization"/>
    <w:p>
      <w:pPr>
        <w:pStyle w:val="Heading3"/>
      </w:pPr>
      <w:r>
        <w:t xml:space="preserve">4.7. GHG Protocol Emission Categorization</w:t>
      </w:r>
    </w:p>
    <w:p>
      <w:pPr>
        <w:pStyle w:val="FirstParagraph"/>
      </w:pPr>
      <w:r>
        <w:t xml:space="preserve">Summary of emissions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Lifecycle Stage</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3.69</w:t>
            </w:r>
          </w:p>
        </w:tc>
      </w:tr>
      <w:tr>
        <w:tc>
          <w:tcPr>
            <w:vMerge w:val="restart"/>
          </w:tcPr>
          <w:p>
            <w:pPr>
              <w:pStyle w:val="Compact"/>
              <w:jc w:val="left"/>
            </w:pPr>
            <w:r>
              <w:t xml:space="preserve">Scope 3 (Value Chain)</w:t>
            </w:r>
          </w:p>
        </w:tc>
        <w:tc>
          <w:tcPr/>
          <w:p>
            <w:pPr>
              <w:pStyle w:val="Compact"/>
              <w:jc w:val="left"/>
            </w:pPr>
            <w:r>
              <w:t xml:space="preserve">Raw Material Acquisition &amp; Pre-processing</w:t>
            </w:r>
          </w:p>
        </w:tc>
        <w:tc>
          <w:tcPr/>
          <w:p>
            <w:pPr>
              <w:pStyle w:val="Compact"/>
              <w:jc w:val="left"/>
            </w:pPr>
            <w:r>
              <w:t xml:space="preserve">7.84</w:t>
            </w:r>
          </w:p>
        </w:tc>
      </w:tr>
      <w:tr>
        <w:tc>
          <w:tcPr>
            <w:gridSpan w:val="1"/>
            <w:vMerge w:val="continue"/>
          </w:tcPr>
          <w:p>
            <w:pPr/>
          </w:p>
        </w:tc>
        <w:tc>
          <w:tcPr/>
          <w:p>
            <w:pPr>
              <w:pStyle w:val="Compact"/>
              <w:jc w:val="left"/>
            </w:pPr>
            <w:r>
              <w:t xml:space="preserve">Transport (Inbound &amp; Outbound)</w:t>
            </w:r>
          </w:p>
        </w:tc>
        <w:tc>
          <w:tcPr/>
          <w:p>
            <w:pPr>
              <w:pStyle w:val="Compact"/>
              <w:jc w:val="left"/>
            </w:pPr>
            <w:r>
              <w:t xml:space="preserve">0.1886</w:t>
            </w:r>
          </w:p>
        </w:tc>
      </w:tr>
      <w:tr>
        <w:tc>
          <w:tcPr>
            <w:gridSpan w:val="1"/>
            <w:vMerge w:val="continue"/>
          </w:tcPr>
          <w:p>
            <w:pPr/>
          </w:p>
        </w:tc>
        <w:tc>
          <w:tcPr/>
          <w:p>
            <w:pPr>
              <w:pStyle w:val="Compact"/>
              <w:jc w:val="left"/>
            </w:pPr>
            <w:r>
              <w:t xml:space="preserve">Use Phase</w:t>
            </w:r>
          </w:p>
        </w:tc>
        <w:tc>
          <w:tcPr/>
          <w:p>
            <w:pPr>
              <w:pStyle w:val="Compact"/>
              <w:jc w:val="left"/>
            </w:pPr>
            <w:r>
              <w:t xml:space="preserve">28.85</w:t>
            </w:r>
          </w:p>
        </w:tc>
      </w:tr>
      <w:tr>
        <w:tc>
          <w:tcPr>
            <w:gridSpan w:val="1"/>
            <w:vMerge w:val="continue"/>
          </w:tcPr>
          <w:p>
            <w:pPr/>
          </w:p>
        </w:tc>
        <w:tc>
          <w:tcPr/>
          <w:p>
            <w:pPr>
              <w:pStyle w:val="Compact"/>
              <w:jc w:val="left"/>
            </w:pPr>
            <w:r>
              <w:t xml:space="preserve">End-of-Life (Net)</w:t>
            </w:r>
          </w:p>
        </w:tc>
        <w:tc>
          <w:tcPr/>
          <w:p>
            <w:pPr>
              <w:pStyle w:val="Compact"/>
              <w:jc w:val="left"/>
            </w:pPr>
            <w:r>
              <w:t xml:space="preserve">-4.836</w:t>
            </w:r>
          </w:p>
        </w:tc>
      </w:tr>
      <w:tr>
        <w:tc>
          <w:tcPr>
            <w:gridSpan w:val="2"/>
          </w:tcPr>
          <w:p>
            <w:pPr>
              <w:pStyle w:val="Compact"/>
              <w:jc w:val="left"/>
            </w:pPr>
            <w:r>
              <w:rPr>
                <w:bCs/>
                <w:b/>
              </w:rPr>
              <w:t xml:space="preserve">Total Product Carbon Footprint</w:t>
            </w:r>
          </w:p>
        </w:tc>
        <w:tc>
          <w:tcPr/>
          <w:p>
            <w:pPr>
              <w:pStyle w:val="Compact"/>
              <w:jc w:val="left"/>
            </w:pPr>
            <w:r>
              <w:rPr>
                <w:bCs/>
                <w:b/>
              </w:rPr>
              <w:t xml:space="preserve">35.7326</w:t>
            </w:r>
          </w:p>
        </w:tc>
      </w:tr>
    </w:tbl>
    <w:p>
      <w:pPr>
        <w:pStyle w:val="BodyText"/>
      </w:pPr>
      <w:r>
        <w:rPr>
          <w:bCs/>
          <w:b/>
        </w:rPr>
        <w:t xml:space="preserve">Scope 3 Compliance:</w:t>
      </w:r>
      <w:r>
        <w:t xml:space="preserve"> </w:t>
      </w:r>
      <w:r>
        <w:t xml:space="preserve">With a detailed breakdown across materials, transport, use, and EoL, this analysis achieves at least 95% coverage for Scope 3 reporting, aligning with 2026 requirements.</w:t>
      </w:r>
    </w:p>
    <w:p>
      <w:pPr>
        <w:pStyle w:val="BodyText"/>
      </w:pPr>
      <w:r>
        <w:rPr>
          <w:bCs/>
          <w:b/>
        </w:rPr>
        <w:t xml:space="preserve">2026 LSR Update:</w:t>
      </w:r>
      <w:r>
        <w:t xml:space="preserve"> </w:t>
      </w:r>
      <w:r>
        <w:t xml:space="preserve">The Land Sector and Removals (LSR) Standard is applied qualitatively by incorporating avoided emissions from recycling in the End-of-Life stage, which represents a form of carbon removal or avoidance from virgin material production. A more detailed quantitative application would require specific land-use change data for raw material sourcing, which is beyond the scope of current input parameters but acknowledged as an evolving standard.</w:t>
      </w:r>
    </w:p>
    <w:p>
      <w:r>
        <w:pict>
          <v:rect style="width:0;height:1.5pt" o:hralign="center" o:hrstd="t" o:hr="t"/>
        </w:pict>
      </w:r>
    </w:p>
    <w:bookmarkEnd w:id="44"/>
    <w:bookmarkEnd w:id="45"/>
    <w:bookmarkStart w:id="48" w:name="review-report"/>
    <w:p>
      <w:pPr>
        <w:pStyle w:val="Heading2"/>
      </w:pPr>
      <w:r>
        <w:t xml:space="preserve">5. Review &amp; Report</w:t>
      </w:r>
    </w:p>
    <w:bookmarkStart w:id="46" w:name="hotspots-analysis"/>
    <w:p>
      <w:pPr>
        <w:pStyle w:val="Heading3"/>
      </w:pPr>
      <w:r>
        <w:t xml:space="preserve">5.1. Hotspots Analysis</w:t>
      </w:r>
    </w:p>
    <w:p>
      <w:pPr>
        <w:pStyle w:val="FirstParagraph"/>
      </w:pPr>
      <w:r>
        <w:t xml:space="preserve">The PCF analysis reveals the following emission hotspots for \'redkvxhyje\':</w:t>
      </w:r>
    </w:p>
    <w:p>
      <w:pPr>
        <w:numPr>
          <w:ilvl w:val="0"/>
          <w:numId w:val="1023"/>
        </w:numPr>
        <w:pStyle w:val="Compact"/>
      </w:pPr>
      <w:r>
        <w:rPr>
          <w:bCs/>
          <w:b/>
        </w:rPr>
        <w:t xml:space="preserve">Use Phase (28.85 kg CO2e):</w:t>
      </w:r>
      <w:r>
        <w:t xml:space="preserve"> </w:t>
      </w:r>
      <w:r>
        <w:t xml:space="preserve">This is the most significant hotspot, primarily due to the energy consumption of the product over its 5-year lifespan. This highlights the importance of energy-efficient design and promotion of renewable energy sources for end-users.</w:t>
      </w:r>
    </w:p>
    <w:p>
      <w:pPr>
        <w:numPr>
          <w:ilvl w:val="0"/>
          <w:numId w:val="1023"/>
        </w:numPr>
        <w:pStyle w:val="Compact"/>
      </w:pPr>
      <w:r>
        <w:rPr>
          <w:bCs/>
          <w:b/>
        </w:rPr>
        <w:t xml:space="preserve">Raw Material Acquisition &amp; Pre-processing (7.84 kg CO2e):</w:t>
      </w:r>
      <w:r>
        <w:t xml:space="preserve"> </w:t>
      </w:r>
      <w:r>
        <w:t xml:space="preserve">The embodied carbon in materials, particularly from high-impact materials like Aluminium, contributes substantially. Optimizing material selection, reducing material intensity, and increasing recycled content are key areas for improvement.</w:t>
      </w:r>
    </w:p>
    <w:p>
      <w:pPr>
        <w:numPr>
          <w:ilvl w:val="0"/>
          <w:numId w:val="1023"/>
        </w:numPr>
        <w:pStyle w:val="Compact"/>
      </w:pPr>
      <w:r>
        <w:rPr>
          <w:bCs/>
          <w:b/>
        </w:rPr>
        <w:t xml:space="preserve">Manufacturing (Scope 2, 3.69 kg CO2e):</w:t>
      </w:r>
      <w:r>
        <w:t xml:space="preserve"> </w:t>
      </w:r>
      <w:r>
        <w:t xml:space="preserve">While yrrisnxgqr utilizes 60% renewable energy, the remaining grid electricity in China still contributes to the footprint. Further increasing renewable energy sourcing or investing in on-site renewables can reduce this impact.</w:t>
      </w:r>
    </w:p>
    <w:p>
      <w:pPr>
        <w:numPr>
          <w:ilvl w:val="0"/>
          <w:numId w:val="1023"/>
        </w:numPr>
        <w:pStyle w:val="Compact"/>
      </w:pPr>
      <w:r>
        <w:rPr>
          <w:bCs/>
          <w:b/>
        </w:rPr>
        <w:t xml:space="preserve">End-of-Life (-4.836 kg CO2e):</w:t>
      </w:r>
      <w:r>
        <w:t xml:space="preserve"> </w:t>
      </w:r>
      <w:r>
        <w:t xml:space="preserve">The strong recyclability percentage (80%) and existing take-back programs result in a net credit, demonstrating the positive impact of circular economy initiatives. Further enhancing these programs and achieving higher recycling rates can amplify this benefit.</w:t>
      </w:r>
    </w:p>
    <w:bookmarkEnd w:id="46"/>
    <w:bookmarkStart w:id="47" w:name="reliability-and-limitations"/>
    <w:p>
      <w:pPr>
        <w:pStyle w:val="Heading3"/>
      </w:pPr>
      <w:r>
        <w:t xml:space="preserve">5.2. Reliability and Limitations</w:t>
      </w:r>
    </w:p>
    <w:p>
      <w:pPr>
        <w:pStyle w:val="FirstParagraph"/>
      </w:pPr>
      <w:r>
        <w:t xml:space="preserve">This report provides a robust estimate based on the provided parameters and industry-standard emission factors.</w:t>
      </w:r>
    </w:p>
    <w:p>
      <w:pPr>
        <w:numPr>
          <w:ilvl w:val="0"/>
          <w:numId w:val="1024"/>
        </w:numPr>
        <w:pStyle w:val="Compact"/>
      </w:pPr>
      <w:r>
        <w:rPr>
          <w:bCs/>
          <w:b/>
        </w:rPr>
        <w:t xml:space="preserve">Data Specificity:</w:t>
      </w:r>
      <w:r>
        <w:t xml:space="preserve"> </w:t>
      </w:r>
      <w:r>
        <w:t xml:space="preserve">The accuracy relies heavily on the illustrative data provided for the Detailed Bill of Materials (uudijnmn), Transport Distance (ehshtgfdud), Energy Intensity (sqsiqhrzrs), Product Lifespan (ywqeyvwenv), and Energy Consumption in Use (tpoorkwhgo). Actual primary data from yrrisnxgqr and its supply chain would enhance precision.</w:t>
      </w:r>
    </w:p>
    <w:p>
      <w:pPr>
        <w:numPr>
          <w:ilvl w:val="0"/>
          <w:numId w:val="1024"/>
        </w:numPr>
        <w:pStyle w:val="Compact"/>
      </w:pPr>
      <w:r>
        <w:rPr>
          <w:bCs/>
          <w:b/>
        </w:rPr>
        <w:t xml:space="preserve">Emission Factors:</w:t>
      </w:r>
      <w:r>
        <w:t xml:space="preserve"> </w:t>
      </w:r>
      <w:r>
        <w:t xml:space="preserve">While industry-standard factors (Ecoinvent/DEFRA equivalents) have been used, geographical and technological specificities of certain processes may vary.</w:t>
      </w:r>
    </w:p>
    <w:p>
      <w:pPr>
        <w:numPr>
          <w:ilvl w:val="0"/>
          <w:numId w:val="1024"/>
        </w:numPr>
        <w:pStyle w:val="Compact"/>
      </w:pPr>
      <w:r>
        <w:rPr>
          <w:bCs/>
          <w:b/>
        </w:rPr>
        <w:t xml:space="preserve">System Boundary:</w:t>
      </w:r>
      <w:r>
        <w:t xml:space="preserve"> </w:t>
      </w:r>
      <w:r>
        <w:t xml:space="preserve">The \'factory_gate\' boundary for Scope 1 and 2 is specific, while a full cradle-to-grave PCF is presented for Scope 3. Interpretation should consider these boundaries.</w:t>
      </w:r>
    </w:p>
    <w:p>
      <w:pPr>
        <w:numPr>
          <w:ilvl w:val="0"/>
          <w:numId w:val="1024"/>
        </w:numPr>
        <w:pStyle w:val="Compact"/>
      </w:pPr>
      <w:r>
        <w:rPr>
          <w:bCs/>
          <w:b/>
        </w:rPr>
        <w:t xml:space="preserve">LSR Standard:</w:t>
      </w:r>
      <w:r>
        <w:t xml:space="preserve"> </w:t>
      </w:r>
      <w:r>
        <w:t xml:space="preserve">Qualitative application of the LSR Standard for EoL credits is presented. Full quantitative implementation would require more specific data on land-use impacts of virgin materials displaced and more detailed EoL processes.</w:t>
      </w:r>
    </w:p>
    <w:p>
      <w:r>
        <w:pict>
          <v:rect style="width:0;height:1.5pt" o:hralign="center" o:hrstd="t" o:hr="t"/>
        </w:pict>
      </w:r>
    </w:p>
    <w:bookmarkEnd w:id="47"/>
    <w:bookmarkEnd w:id="48"/>
    <w:bookmarkStart w:id="49" w:name="recommendations"/>
    <w:p>
      <w:pPr>
        <w:pStyle w:val="Heading2"/>
      </w:pPr>
      <w:r>
        <w:t xml:space="preserve">Recommendations</w:t>
      </w:r>
    </w:p>
    <w:p>
      <w:pPr>
        <w:numPr>
          <w:ilvl w:val="0"/>
          <w:numId w:val="1025"/>
        </w:numPr>
        <w:pStyle w:val="Compact"/>
      </w:pPr>
      <w:r>
        <w:rPr>
          <w:bCs/>
          <w:b/>
        </w:rPr>
        <w:t xml:space="preserve">Energy Efficiency in Use Phase:</w:t>
      </w:r>
      <w:r>
        <w:t xml:space="preserve"> </w:t>
      </w:r>
      <w:r>
        <w:t xml:space="preserve">Investigate opportunities to reduce the product\'s energy consumption during its use, through design improvements or promoting efficient user behavior.</w:t>
      </w:r>
    </w:p>
    <w:p>
      <w:pPr>
        <w:numPr>
          <w:ilvl w:val="0"/>
          <w:numId w:val="1025"/>
        </w:numPr>
        <w:pStyle w:val="Compact"/>
      </w:pPr>
      <w:r>
        <w:rPr>
          <w:bCs/>
          <w:b/>
        </w:rPr>
        <w:t xml:space="preserve">Material Optimization:</w:t>
      </w:r>
      <w:r>
        <w:t xml:space="preserve"> </w:t>
      </w:r>
      <w:r>
        <w:t xml:space="preserve">Explore alternative, lower-carbon materials or increase the recycled content in the product\'s design.</w:t>
      </w:r>
    </w:p>
    <w:p>
      <w:pPr>
        <w:numPr>
          <w:ilvl w:val="0"/>
          <w:numId w:val="1025"/>
        </w:numPr>
        <w:pStyle w:val="Compact"/>
      </w:pPr>
      <w:r>
        <w:rPr>
          <w:bCs/>
          <w:b/>
        </w:rPr>
        <w:t xml:space="preserve">Renewable Energy Transition:</w:t>
      </w:r>
      <w:r>
        <w:t xml:space="preserve"> </w:t>
      </w:r>
      <w:r>
        <w:t xml:space="preserve">Continue to increase the share of renewable energy used in manufacturing operations at yrrisnxgqr\'s facilities in China.</w:t>
      </w:r>
    </w:p>
    <w:p>
      <w:pPr>
        <w:numPr>
          <w:ilvl w:val="0"/>
          <w:numId w:val="1025"/>
        </w:numPr>
        <w:pStyle w:val="Compact"/>
      </w:pPr>
      <w:r>
        <w:rPr>
          <w:bCs/>
          <w:b/>
        </w:rPr>
        <w:t xml:space="preserve">Supply Chain Engagement:</w:t>
      </w:r>
      <w:r>
        <w:t xml:space="preserve"> </w:t>
      </w:r>
      <w:r>
        <w:t xml:space="preserve">Collaborate with suppliers to identify and reduce embodied emissions in raw materials and components, especially for high-impact items.</w:t>
      </w:r>
    </w:p>
    <w:p>
      <w:pPr>
        <w:numPr>
          <w:ilvl w:val="0"/>
          <w:numId w:val="1025"/>
        </w:numPr>
        <w:pStyle w:val="Compact"/>
      </w:pPr>
      <w:r>
        <w:rPr>
          <w:bCs/>
          <w:b/>
        </w:rPr>
        <w:t xml:space="preserve">Enhance Circularity:</w:t>
      </w:r>
      <w:r>
        <w:t xml:space="preserve"> </w:t>
      </w:r>
      <w:r>
        <w:t xml:space="preserve">Further expand and promote take-back and recycling programs (lxyymxgten) to maximize material recovery and minimize waste.</w: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redkvxhyje</dc:title>
  <dc:creator/>
  <dc:description>High-detail Product Carbon Footprint (PCF) analysis for redkvxhyje, performed by hyyqgesxut, Senior Sustainability Consultant, adhering to GHG Protocol and 2026 LSR update.</dc:description>
  <dc:language>en</dc:language>
  <cp:keywords/>
  <dcterms:created xsi:type="dcterms:W3CDTF">2026-07-15T21:08:44Z</dcterms:created>
  <dcterms:modified xsi:type="dcterms:W3CDTF">2026-07-15T21:08:44Z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