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rdygreevjs</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rdygreevjs</w:t>
      </w:r>
    </w:p>
    <w:p>
      <w:pPr>
        <w:pStyle w:val="BodyText"/>
      </w:pPr>
      <w:r>
        <w:t xml:space="preserve">Company: joeonljpko</w:t>
      </w:r>
    </w:p>
    <w:p>
      <w:pPr>
        <w:pStyle w:val="BodyText"/>
      </w:pPr>
      <w:r>
        <w:t xml:space="preserve">Senior Sustainability Consultant: xrpwuvisip</w:t>
      </w:r>
    </w:p>
    <w:p>
      <w:pPr>
        <w:pStyle w:val="BodyText"/>
      </w:pPr>
      <w:r>
        <w:t xml:space="preserve">Accounting Standard: GHG Protocol</w:t>
      </w:r>
    </w:p>
    <w:p>
      <w:pPr>
        <w:pStyle w:val="BodyText"/>
      </w:pPr>
      <w:r>
        <w:t xml:space="preserve">This report is generated based on available data and industry standards, employing illustrative parameters where specific data was provided as placeholders. Actual values may vary.</w:t>
      </w:r>
    </w:p>
    <w:bookmarkEnd w:id="20"/>
    <w:bookmarkStart w:id="21" w:name="X171624d1ca468949d7220cabec52fd7d2eb82c4"/>
    <w:p>
      <w:pPr>
        <w:pStyle w:val="Heading1"/>
      </w:pPr>
      <w:r>
        <w:t xml:space="preserve">Product Carbon Footprint Analysis: rdygreevjs</w:t>
      </w:r>
    </w:p>
    <w:p>
      <w:pPr>
        <w:pStyle w:val="FirstParagraph"/>
      </w:pPr>
      <w:r>
        <w:t xml:space="preserve">Generated Date: June 3, 2026</w:t>
      </w:r>
    </w:p>
    <w:p>
      <w:pPr>
        <w:pStyle w:val="BodyText"/>
      </w:pPr>
      <w:r>
        <w:t xml:space="preserve">Prepared by: xrpwuvisip,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rdygreevjs, manufactured by joeonljpko. The analysis was conducted by xrpwuvisip, Senior Sustainability Consultant, adhering strictly to the GHG Protocol accounting standard, including the 2026 Land Sector and Removals (LSR) Standard update and aiming for at least 95% Scope 3 coverage. The PCF quantifies the total greenhouse gas emissions associated with the product\'s lifecycle, from raw material extraction to end-of-life, on a \'factory-gate\' system boundary with a supply chain focus on Europe and final production in China. Illustrative data has been used for specific parameters provided as placeholders (e.g., BOM details, transport specifics, energy usage, and end-of-life scenarios) to demonstrate the methodology and highlight potential emission hotspots.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foundation of this PCF analysis is a clearly defined scope, ensuring consistency and comparability.</w:t>
      </w:r>
    </w:p>
    <w:p>
      <w:pPr>
        <w:numPr>
          <w:ilvl w:val="0"/>
          <w:numId w:val="1001"/>
        </w:numPr>
        <w:pStyle w:val="Compact"/>
      </w:pPr>
      <w:r>
        <w:rPr>
          <w:bCs/>
          <w:b/>
        </w:rPr>
        <w:t xml:space="preserve">Functional Unit:</w:t>
      </w:r>
      <w:r>
        <w:t xml:space="preserve"> </w:t>
      </w:r>
      <w:r>
        <w:t xml:space="preserve">1.0 unit of rdygreevjs.</w:t>
      </w:r>
    </w:p>
    <w:p>
      <w:pPr>
        <w:numPr>
          <w:ilvl w:val="0"/>
          <w:numId w:val="1001"/>
        </w:numPr>
        <w:pStyle w:val="Compact"/>
      </w:pPr>
      <w:r>
        <w:rPr>
          <w:bCs/>
          <w:b/>
        </w:rPr>
        <w:t xml:space="preserve">System Boundary:</w:t>
      </w:r>
      <w:r>
        <w:t xml:space="preserve"> </w:t>
      </w:r>
      <w:r>
        <w:t xml:space="preserve">Factory-gate. This analysis covers raw material acquisition, manufacturing, and inbound transportation to the factory gate. For a comprehensive cradle-to-grave understanding, the use phase and end-of-life impacts are also calculated and categorized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and/or outbound logistics often involve Europe)</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Mass-based allocation is applied where co-products or by-products exist, proportionate to their mass contribution to the product.</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 rdygreevjs has been mapped to identify all relevant stages for emission quantification:</w:t>
      </w:r>
    </w:p>
    <w:p>
      <w:pPr>
        <w:numPr>
          <w:ilvl w:val="0"/>
          <w:numId w:val="1003"/>
        </w:numPr>
        <w:pStyle w:val="Compact"/>
      </w:pPr>
      <w:r>
        <w:rPr>
          <w:bCs/>
          <w:b/>
        </w:rPr>
        <w:t xml:space="preserve">Raw Material Acquisition &amp; Processing:</w:t>
      </w:r>
      <w:r>
        <w:t xml:space="preserve"> </w:t>
      </w:r>
      <w:r>
        <w:t xml:space="preserve">Extraction of raw materials and their transformation into usable components.</w:t>
      </w:r>
    </w:p>
    <w:p>
      <w:pPr>
        <w:numPr>
          <w:ilvl w:val="1"/>
          <w:numId w:val="1004"/>
        </w:numPr>
        <w:pStyle w:val="Compact"/>
      </w:pPr>
      <w:r>
        <w:rPr>
          <w:iCs/>
          <w:i/>
        </w:rPr>
        <w:t xml:space="preserve">GHG Protocol Scope:</w:t>
      </w:r>
      <w:r>
        <w:t xml:space="preserve"> </w:t>
      </w:r>
      <w:r>
        <w:t xml:space="preserve">Scope 3 (Upstream - Purchased Goods and Services)</w:t>
      </w:r>
    </w:p>
    <w:p>
      <w:pPr>
        <w:numPr>
          <w:ilvl w:val="0"/>
          <w:numId w:val="1003"/>
        </w:numPr>
        <w:pStyle w:val="Compact"/>
      </w:pPr>
      <w:r>
        <w:rPr>
          <w:bCs/>
          <w:b/>
        </w:rPr>
        <w:t xml:space="preserve">Manufacturing:</w:t>
      </w:r>
      <w:r>
        <w:t xml:space="preserve"> </w:t>
      </w:r>
      <w:r>
        <w:t xml:space="preserve">All production processes at the joeonljpko facility in China, including energy consumption for machinery, heating, and cooling.</w:t>
      </w:r>
    </w:p>
    <w:p>
      <w:pPr>
        <w:numPr>
          <w:ilvl w:val="1"/>
          <w:numId w:val="1005"/>
        </w:numPr>
        <w:pStyle w:val="Compact"/>
      </w:pPr>
      <w:r>
        <w:rPr>
          <w:iCs/>
          <w:i/>
        </w:rPr>
        <w:t xml:space="preserve">GHG Protocol Scope:</w:t>
      </w:r>
      <w:r>
        <w:t xml:space="preserve"> </w:t>
      </w:r>
      <w:r>
        <w:t xml:space="preserve">Scope 1 (Direct emissions from on-site combustion, if any), Scope 2 (Purchased electricity).</w:t>
      </w:r>
    </w:p>
    <w:p>
      <w:pPr>
        <w:numPr>
          <w:ilvl w:val="0"/>
          <w:numId w:val="1003"/>
        </w:numPr>
        <w:pStyle w:val="Compact"/>
      </w:pPr>
      <w:r>
        <w:rPr>
          <w:bCs/>
          <w:b/>
        </w:rPr>
        <w:t xml:space="preserve">Transport (Logistics):</w:t>
      </w:r>
    </w:p>
    <w:p>
      <w:pPr>
        <w:numPr>
          <w:ilvl w:val="1"/>
          <w:numId w:val="1006"/>
        </w:numPr>
        <w:pStyle w:val="Compact"/>
      </w:pPr>
      <w:r>
        <w:rPr>
          <w:bCs/>
          <w:b/>
        </w:rPr>
        <w:t xml:space="preserve">Inbound Logistics:</w:t>
      </w:r>
      <w:r>
        <w:t xml:space="preserve"> </w:t>
      </w:r>
      <w:r>
        <w:t xml:space="preserve">Transportation of raw materials and components from suppliers (Europe-focused) to the manufacturing facility in China.</w:t>
      </w:r>
    </w:p>
    <w:p>
      <w:pPr>
        <w:numPr>
          <w:ilvl w:val="1"/>
          <w:numId w:val="1006"/>
        </w:numPr>
        <w:pStyle w:val="Compact"/>
      </w:pPr>
      <w:r>
        <w:rPr>
          <w:bCs/>
          <w:b/>
        </w:rPr>
        <w:t xml:space="preserve">Outbound Logistics:</w:t>
      </w:r>
      <w:r>
        <w:t xml:space="preserve"> </w:t>
      </w:r>
      <w:r>
        <w:t xml:space="preserve">Transportation of the finished product from the manufacturing facility in China to distribution centers, potentially in Europe.</w:t>
      </w:r>
    </w:p>
    <w:p>
      <w:pPr>
        <w:numPr>
          <w:ilvl w:val="1"/>
          <w:numId w:val="1006"/>
        </w:numPr>
        <w:pStyle w:val="Compact"/>
      </w:pPr>
      <w:r>
        <w:rPr>
          <w:bCs/>
          <w:b/>
        </w:rPr>
        <w:t xml:space="preserve">Last-Mile Delivery:</w:t>
      </w:r>
      <w:r>
        <w:t xml:space="preserve"> </w:t>
      </w:r>
      <w:r>
        <w:t xml:space="preserve">Final delivery to the end-consumer.</w:t>
      </w:r>
    </w:p>
    <w:p>
      <w:pPr>
        <w:numPr>
          <w:ilvl w:val="1"/>
          <w:numId w:val="1006"/>
        </w:numPr>
        <w:pStyle w:val="Compact"/>
      </w:pPr>
      <w:r>
        <w:rPr>
          <w:iCs/>
          <w:i/>
        </w:rPr>
        <w:t xml:space="preserve">GHG Protocol Scope:</w:t>
      </w:r>
      <w:r>
        <w:t xml:space="preserve"> </w:t>
      </w:r>
      <w:r>
        <w:t xml:space="preserve">Scope 3 (Upstream - Transportation and Distribution; Downstream - Transportation and Distribution)</w:t>
      </w:r>
    </w:p>
    <w:p>
      <w:pPr>
        <w:numPr>
          <w:ilvl w:val="0"/>
          <w:numId w:val="1003"/>
        </w:numPr>
        <w:pStyle w:val="Compact"/>
      </w:pPr>
      <w:r>
        <w:rPr>
          <w:bCs/>
          <w:b/>
        </w:rPr>
        <w:t xml:space="preserve">Use Phase:</w:t>
      </w:r>
      <w:r>
        <w:t xml:space="preserve"> </w:t>
      </w:r>
      <w:r>
        <w:t xml:space="preserve">Energy consumption and other impacts during the product\'s expected lifespan by the end-user.</w:t>
      </w:r>
    </w:p>
    <w:p>
      <w:pPr>
        <w:numPr>
          <w:ilvl w:val="1"/>
          <w:numId w:val="1007"/>
        </w:numPr>
        <w:pStyle w:val="Compact"/>
      </w:pPr>
      <w:r>
        <w:rPr>
          <w:iCs/>
          <w:i/>
        </w:rPr>
        <w:t xml:space="preserve">GHG Protocol Scope:</w:t>
      </w:r>
      <w:r>
        <w:t xml:space="preserve"> </w:t>
      </w:r>
      <w:r>
        <w:t xml:space="preserve">Scope 3 (Downstream - Use of Sold Products)</w:t>
      </w:r>
    </w:p>
    <w:p>
      <w:pPr>
        <w:numPr>
          <w:ilvl w:val="0"/>
          <w:numId w:val="1003"/>
        </w:numPr>
        <w:pStyle w:val="Compact"/>
      </w:pPr>
      <w:r>
        <w:rPr>
          <w:bCs/>
          <w:b/>
        </w:rPr>
        <w:t xml:space="preserve">End-of-Life (EoL):</w:t>
      </w:r>
      <w:r>
        <w:t xml:space="preserve"> </w:t>
      </w:r>
      <w:r>
        <w:t xml:space="preserve">Disposal, recycling, or recovery processes at the end of the product\'s life.</w:t>
      </w:r>
    </w:p>
    <w:p>
      <w:pPr>
        <w:numPr>
          <w:ilvl w:val="1"/>
          <w:numId w:val="1008"/>
        </w:numPr>
        <w:pStyle w:val="Compact"/>
      </w:pPr>
      <w:r>
        <w:rPr>
          <w:iCs/>
          <w:i/>
        </w:rPr>
        <w:t xml:space="preserve">GHG Protocol Scope:</w:t>
      </w:r>
      <w:r>
        <w:t xml:space="preserve"> </w:t>
      </w:r>
      <w:r>
        <w:t xml:space="preserve">Scope 3 (Downstream - End-of-Life Treatment of Sold Products)</w:t>
      </w:r>
    </w:p>
    <w:p>
      <w:r>
        <w:pict>
          <v:rect style="width:0;height:1.5pt" o:hralign="center" o:hrstd="t" o:hr="t"/>
        </w:pict>
      </w:r>
    </w:p>
    <w:bookmarkEnd w:id="24"/>
    <w:bookmarkStart w:id="30" w:name="collect-data"/>
    <w:p>
      <w:pPr>
        <w:pStyle w:val="Heading2"/>
      </w:pPr>
      <w:r>
        <w:t xml:space="preserve">3. Collect Data</w:t>
      </w:r>
    </w:p>
    <w:p>
      <w:pPr>
        <w:pStyle w:val="FirstParagraph"/>
      </w:pPr>
      <w:r>
        <w:t xml:space="preserve">Data collection involves gathering both primary and secondary data points. For this report, specific parameters provided as placeholders have been assigned illustrative values to demonstrate the calculation methodology.</w:t>
      </w:r>
    </w:p>
    <w:bookmarkStart w:id="25" w:name="detailed-bill-of-materials-bom"/>
    <w:p>
      <w:pPr>
        <w:pStyle w:val="Heading3"/>
      </w:pPr>
      <w:r>
        <w:t xml:space="preserve">3.1. Detailed Bill of Materials (BOM)</w:t>
      </w:r>
    </w:p>
    <w:p>
      <w:pPr>
        <w:pStyle w:val="FirstParagraph"/>
      </w:pPr>
      <w:r>
        <w:t xml:space="preserve">The Detailed Bill of Materials for rdygreevjs was provided as</w:t>
      </w:r>
      <w:r>
        <w:t xml:space="preserve"> </w:t>
      </w:r>
      <w:r>
        <w:rPr>
          <w:rStyle w:val="VerbatimChar"/>
        </w:rPr>
        <w:t xml:space="preserve">dsdzsmmu</w:t>
      </w:r>
      <w:r>
        <w:t xml:space="preserve">. For the purpose of this analysis, the following illustrative BOM data, adhering to the specified format, has been assumed for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Product Casing</w:t>
            </w:r>
          </w:p>
        </w:tc>
        <w:tc>
          <w:tcPr/>
          <w:p>
            <w:pPr>
              <w:pStyle w:val="Compact"/>
              <w:jc w:val="left"/>
            </w:pPr>
            <w:r>
              <w:t xml:space="preserve">Plastic (HDPE)</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002</w:t>
            </w:r>
          </w:p>
        </w:tc>
        <w:tc>
          <w:tcPr/>
          <w:p>
            <w:pPr>
              <w:pStyle w:val="Compact"/>
              <w:jc w:val="left"/>
            </w:pPr>
            <w:r>
              <w:t xml:space="preserve">Internal Frame</w:t>
            </w:r>
          </w:p>
        </w:tc>
        <w:tc>
          <w:tcPr/>
          <w:p>
            <w:pPr>
              <w:pStyle w:val="Compact"/>
              <w:jc w:val="left"/>
            </w:pPr>
            <w:r>
              <w:t xml:space="preserve">Metal (Steel)</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1.85</w:t>
            </w:r>
          </w:p>
        </w:tc>
        <w:tc>
          <w:tcPr/>
          <w:p>
            <w:pPr>
              <w:pStyle w:val="Compact"/>
              <w:jc w:val="left"/>
            </w:pPr>
            <w:r>
              <w:t xml:space="preserve">0.37</w:t>
            </w:r>
          </w:p>
        </w:tc>
      </w:tr>
      <w:tr>
        <w:tc>
          <w:tcPr/>
          <w:p>
            <w:pPr>
              <w:pStyle w:val="Compact"/>
              <w:jc w:val="left"/>
            </w:pPr>
            <w:r>
              <w:t xml:space="preserve">003</w:t>
            </w:r>
          </w:p>
        </w:tc>
        <w:tc>
          <w:tcPr/>
          <w:p>
            <w:pPr>
              <w:pStyle w:val="Compact"/>
              <w:jc w:val="left"/>
            </w:pPr>
            <w:r>
              <w:t xml:space="preserve">Connectors</w:t>
            </w:r>
          </w:p>
        </w:tc>
        <w:tc>
          <w:tcPr/>
          <w:p>
            <w:pPr>
              <w:pStyle w:val="Compact"/>
              <w:jc w:val="left"/>
            </w:pPr>
            <w:r>
              <w:t xml:space="preserve">Metal (Primary Aluminum)</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0.74</w:t>
            </w:r>
          </w:p>
        </w:tc>
      </w:tr>
      <w:tr>
        <w:tc>
          <w:tcPr/>
          <w:p>
            <w:pPr>
              <w:pStyle w:val="Compact"/>
              <w:jc w:val="left"/>
            </w:pPr>
            <w:r>
              <w:t xml:space="preserve">004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15.00 (Illustrative for complex electronics)</w:t>
            </w:r>
          </w:p>
        </w:tc>
        <w:tc>
          <w:tcPr/>
          <w:p>
            <w:pPr>
              <w:pStyle w:val="Compact"/>
              <w:jc w:val="left"/>
            </w:pPr>
            <w:r>
              <w:t xml:space="preserve">0.45</w:t>
            </w:r>
          </w:p>
        </w:tc>
      </w:tr>
    </w:tbl>
    <w:p>
      <w:pPr>
        <w:pStyle w:val="BodyText"/>
      </w:pPr>
      <w:r>
        <w:rPr>
          <w:iCs/>
          <w:i/>
        </w:rPr>
        <w:t xml:space="preserve">Note: The "Emission Factor" values are representative industry averages (e.g., from Ecoinvent/DEFRA equivalents) and "Total Carbon" is calculated based on these illustrative values.</w:t>
      </w:r>
    </w:p>
    <w:bookmarkEnd w:id="25"/>
    <w:bookmarkStart w:id="26" w:name="transport-data"/>
    <w:p>
      <w:pPr>
        <w:pStyle w:val="Heading3"/>
      </w:pPr>
      <w:r>
        <w:t xml:space="preserve">3.2. Transport Data</w:t>
      </w:r>
    </w:p>
    <w:p>
      <w:pPr>
        <w:pStyle w:val="FirstParagraph"/>
      </w:pPr>
      <w:r>
        <w:t xml:space="preserve">The following illustrative logistics data, based on the provided parameters (</w:t>
      </w:r>
      <w:r>
        <w:rPr>
          <w:rStyle w:val="VerbatimChar"/>
        </w:rPr>
        <w:t xml:space="preserve">Transport Mode: Select Mode</w:t>
      </w:r>
      <w:r>
        <w:t xml:space="preserve">,</w:t>
      </w:r>
      <w:r>
        <w:t xml:space="preserve"> </w:t>
      </w:r>
      <w:r>
        <w:rPr>
          <w:rStyle w:val="VerbatimChar"/>
        </w:rPr>
        <w:t xml:space="preserve">Transport Distance: hoivjoufhg</w:t>
      </w:r>
      <w:r>
        <w:t xml:space="preserve">,</w:t>
      </w:r>
      <w:r>
        <w:t xml:space="preserve"> </w:t>
      </w:r>
      <w:r>
        <w:rPr>
          <w:rStyle w:val="VerbatimChar"/>
        </w:rPr>
        <w:t xml:space="preserve">Last-Mile Delivery Channel: Delivery Type</w:t>
      </w:r>
      <w:r>
        <w:t xml:space="preserve">), has been used:</w:t>
      </w:r>
    </w:p>
    <w:p>
      <w:pPr>
        <w:numPr>
          <w:ilvl w:val="0"/>
          <w:numId w:val="1009"/>
        </w:numPr>
        <w:pStyle w:val="Compact"/>
      </w:pPr>
      <w:r>
        <w:rPr>
          <w:bCs/>
          <w:b/>
        </w:rPr>
        <w:t xml:space="preserve">Primary Transport Mode:</w:t>
      </w:r>
      <w:r>
        <w:t xml:space="preserve"> </w:t>
      </w:r>
      <w:r>
        <w:t xml:space="preserve">Road Freight (Heavy Duty Truck)</w:t>
      </w:r>
    </w:p>
    <w:p>
      <w:pPr>
        <w:numPr>
          <w:ilvl w:val="0"/>
          <w:numId w:val="1009"/>
        </w:numPr>
        <w:pStyle w:val="Compact"/>
      </w:pPr>
      <w:r>
        <w:rPr>
          <w:bCs/>
          <w:b/>
        </w:rPr>
        <w:t xml:space="preserve">Inbound Transport Distance (Europe to China):</w:t>
      </w:r>
      <w:r>
        <w:t xml:space="preserve"> </w:t>
      </w:r>
      <w:r>
        <w:t xml:space="preserve">2000 km</w:t>
      </w:r>
    </w:p>
    <w:p>
      <w:pPr>
        <w:numPr>
          <w:ilvl w:val="0"/>
          <w:numId w:val="1009"/>
        </w:numPr>
        <w:pStyle w:val="Compact"/>
      </w:pPr>
      <w:r>
        <w:rPr>
          <w:bCs/>
          <w:b/>
        </w:rPr>
        <w:t xml:space="preserve">Outbound Transport Distance (China to Europe distribution hub):</w:t>
      </w:r>
      <w:r>
        <w:t xml:space="preserve"> </w:t>
      </w:r>
      <w:r>
        <w:t xml:space="preserve">1000 km</w:t>
      </w:r>
    </w:p>
    <w:p>
      <w:pPr>
        <w:numPr>
          <w:ilvl w:val="0"/>
          <w:numId w:val="1009"/>
        </w:numPr>
        <w:pStyle w:val="Compact"/>
      </w:pPr>
      <w:r>
        <w:rPr>
          <w:bCs/>
          <w:b/>
        </w:rPr>
        <w:t xml:space="preserve">Last-Mile Delivery Channel:</w:t>
      </w:r>
      <w:r>
        <w:t xml:space="preserve"> </w:t>
      </w:r>
      <w:r>
        <w:t xml:space="preserve">Local Van Delivery</w:t>
      </w:r>
    </w:p>
    <w:p>
      <w:pPr>
        <w:numPr>
          <w:ilvl w:val="0"/>
          <w:numId w:val="1009"/>
        </w:numPr>
        <w:pStyle w:val="Compact"/>
      </w:pPr>
      <w:r>
        <w:rPr>
          <w:bCs/>
          <w:b/>
        </w:rPr>
        <w:t xml:space="preserve">Last-Mile Delivery Distance:</w:t>
      </w:r>
      <w:r>
        <w:t xml:space="preserve"> </w:t>
      </w:r>
      <w:r>
        <w:t xml:space="preserve">50 km</w:t>
      </w:r>
    </w:p>
    <w:p>
      <w:pPr>
        <w:numPr>
          <w:ilvl w:val="0"/>
          <w:numId w:val="1009"/>
        </w:numPr>
        <w:pStyle w:val="Compact"/>
      </w:pPr>
      <w:r>
        <w:rPr>
          <w:bCs/>
          <w:b/>
        </w:rPr>
        <w:t xml:space="preserve">Product Weight for Transport:</w:t>
      </w:r>
      <w:r>
        <w:t xml:space="preserve"> </w:t>
      </w:r>
      <w:r>
        <w:t xml:space="preserve">1.0 kg (assuming the total weight of the functional unit)</w:t>
      </w:r>
    </w:p>
    <w:p>
      <w:pPr>
        <w:numPr>
          <w:ilvl w:val="0"/>
          <w:numId w:val="1009"/>
        </w:numPr>
        <w:pStyle w:val="Compact"/>
      </w:pPr>
      <w:r>
        <w:rPr>
          <w:bCs/>
          <w:b/>
        </w:rPr>
        <w:t xml:space="preserve">Road Freight Emission Factor:</w:t>
      </w:r>
      <w:r>
        <w:t xml:space="preserve"> </w:t>
      </w:r>
      <w:r>
        <w:t xml:space="preserve">0.12 kg CO2e/tkm (average for heavy duty truck, used for both inbound and outbound primary transport)</w:t>
      </w:r>
    </w:p>
    <w:p>
      <w:pPr>
        <w:numPr>
          <w:ilvl w:val="0"/>
          <w:numId w:val="1009"/>
        </w:numPr>
        <w:pStyle w:val="Compact"/>
      </w:pPr>
      <w:r>
        <w:rPr>
          <w:bCs/>
          <w:b/>
        </w:rPr>
        <w:t xml:space="preserve">Last-Mile Van Emission Factor:</w:t>
      </w:r>
      <w:r>
        <w:t xml:space="preserve"> </w:t>
      </w:r>
      <w:r>
        <w:t xml:space="preserve">0.20 kg CO2e/tkm (illustrative, higher for smaller vehicle/less efficient load)</w:t>
      </w:r>
    </w:p>
    <w:bookmarkEnd w:id="26"/>
    <w:bookmarkStart w:id="27" w:name="X5077dc433e1da7ac35c89ed02c6fc33082866a4"/>
    <w:p>
      <w:pPr>
        <w:pStyle w:val="Heading3"/>
      </w:pPr>
      <w:r>
        <w:t xml:space="preserve">3.3. Energy Customization Data (Production Phase)</w:t>
      </w:r>
    </w:p>
    <w:p>
      <w:pPr>
        <w:pStyle w:val="FirstParagraph"/>
      </w:pPr>
      <w:r>
        <w:t xml:space="preserve">For the manufacturing facility in China, the following illustrative energy data, based on</w:t>
      </w:r>
      <w:r>
        <w:t xml:space="preserve"> </w:t>
      </w:r>
      <w:r>
        <w:rPr>
          <w:rStyle w:val="VerbatimChar"/>
        </w:rPr>
        <w:t xml:space="preserve">Renewable Energy Usage: kxzlyouxyw</w:t>
      </w:r>
      <w:r>
        <w:t xml:space="preserve"> </w:t>
      </w:r>
      <w:r>
        <w:t xml:space="preserve">and</w:t>
      </w:r>
      <w:r>
        <w:t xml:space="preserve"> </w:t>
      </w:r>
      <w:r>
        <w:rPr>
          <w:rStyle w:val="VerbatimChar"/>
        </w:rPr>
        <w:t xml:space="preserve">Energy Intensity (kWh/unit): lvftzqidqo</w:t>
      </w:r>
      <w:r>
        <w:t xml:space="preserve">, has been applied:</w:t>
      </w:r>
    </w:p>
    <w:p>
      <w:pPr>
        <w:numPr>
          <w:ilvl w:val="0"/>
          <w:numId w:val="1010"/>
        </w:numPr>
        <w:pStyle w:val="Compact"/>
      </w:pPr>
      <w:r>
        <w:rPr>
          <w:bCs/>
          <w:b/>
        </w:rPr>
        <w:t xml:space="preserve">Energy Intensity (kWh/unit):</w:t>
      </w:r>
      <w:r>
        <w:t xml:space="preserve"> </w:t>
      </w:r>
      <w:r>
        <w:t xml:space="preserve">10 kWh/unit</w:t>
      </w:r>
    </w:p>
    <w:p>
      <w:pPr>
        <w:numPr>
          <w:ilvl w:val="0"/>
          <w:numId w:val="1010"/>
        </w:numPr>
        <w:pStyle w:val="Compact"/>
      </w:pPr>
      <w:r>
        <w:rPr>
          <w:bCs/>
          <w:b/>
        </w:rPr>
        <w:t xml:space="preserve">Renewable Energy Usage:</w:t>
      </w:r>
      <w:r>
        <w:t xml:space="preserve"> </w:t>
      </w:r>
      <w:r>
        <w:t xml:space="preserve">50%</w:t>
      </w:r>
    </w:p>
    <w:p>
      <w:pPr>
        <w:numPr>
          <w:ilvl w:val="0"/>
          <w:numId w:val="1010"/>
        </w:numPr>
        <w:pStyle w:val="Compact"/>
      </w:pPr>
      <w:r>
        <w:rPr>
          <w:bCs/>
          <w:b/>
        </w:rPr>
        <w:t xml:space="preserve">China Electricity Grid Emission Factor:</w:t>
      </w:r>
      <w:r>
        <w:t xml:space="preserve"> </w:t>
      </w:r>
      <w:r>
        <w:t xml:space="preserve">0.577 kg CO2e/kWh</w:t>
      </w:r>
    </w:p>
    <w:bookmarkEnd w:id="27"/>
    <w:bookmarkStart w:id="28" w:name="use-phase-data"/>
    <w:p>
      <w:pPr>
        <w:pStyle w:val="Heading3"/>
      </w:pPr>
      <w:r>
        <w:t xml:space="preserve">3.4. Use Phase Data</w:t>
      </w:r>
    </w:p>
    <w:p>
      <w:pPr>
        <w:pStyle w:val="FirstParagraph"/>
      </w:pPr>
      <w:r>
        <w:t xml:space="preserve">The \'Use Phase\' calculation incorporates the following illustrative durability and consumption data, based on</w:t>
      </w:r>
      <w:r>
        <w:t xml:space="preserve"> </w:t>
      </w:r>
      <w:r>
        <w:rPr>
          <w:rStyle w:val="VerbatimChar"/>
        </w:rPr>
        <w:t xml:space="preserve">Product Lifespan: qruzujlsqf</w:t>
      </w:r>
      <w:r>
        <w:t xml:space="preserve"> </w:t>
      </w:r>
      <w:r>
        <w:t xml:space="preserve">and</w:t>
      </w:r>
      <w:r>
        <w:t xml:space="preserve"> </w:t>
      </w:r>
      <w:r>
        <w:rPr>
          <w:rStyle w:val="VerbatimChar"/>
        </w:rPr>
        <w:t xml:space="preserve">Energy Consumption in Use: fjvxhjfogp</w:t>
      </w:r>
      <w:r>
        <w:t xml:space="preserve">:</w:t>
      </w:r>
    </w:p>
    <w:p>
      <w:pPr>
        <w:numPr>
          <w:ilvl w:val="0"/>
          <w:numId w:val="1011"/>
        </w:numPr>
        <w:pStyle w:val="Compact"/>
      </w:pPr>
      <w:r>
        <w:rPr>
          <w:bCs/>
          <w:b/>
        </w:rPr>
        <w:t xml:space="preserve">Product Lifespan:</w:t>
      </w:r>
      <w:r>
        <w:t xml:space="preserve"> </w:t>
      </w:r>
      <w:r>
        <w:t xml:space="preserve">5 years</w:t>
      </w:r>
    </w:p>
    <w:p>
      <w:pPr>
        <w:numPr>
          <w:ilvl w:val="0"/>
          <w:numId w:val="1011"/>
        </w:numPr>
        <w:pStyle w:val="Compact"/>
      </w:pPr>
      <w:r>
        <w:rPr>
          <w:bCs/>
          <w:b/>
        </w:rPr>
        <w:t xml:space="preserve">Energy Consumption in Use:</w:t>
      </w:r>
      <w:r>
        <w:t xml:space="preserve"> </w:t>
      </w:r>
      <w:r>
        <w:t xml:space="preserve">20 kWh/year</w:t>
      </w:r>
    </w:p>
    <w:p>
      <w:pPr>
        <w:numPr>
          <w:ilvl w:val="0"/>
          <w:numId w:val="1011"/>
        </w:numPr>
        <w:pStyle w:val="Compact"/>
      </w:pPr>
      <w:r>
        <w:rPr>
          <w:bCs/>
          <w:b/>
        </w:rPr>
        <w:t xml:space="preserve">European Average Electricity Grid Emission Factor:</w:t>
      </w:r>
      <w:r>
        <w:t xml:space="preserve"> </w:t>
      </w:r>
      <w:r>
        <w:t xml:space="preserve">0.28 kg CO2e/kWh (assuming product is used in Europe)</w:t>
      </w:r>
    </w:p>
    <w:bookmarkEnd w:id="28"/>
    <w:bookmarkStart w:id="29" w:name="end-of-life-eol-scenarios"/>
    <w:p>
      <w:pPr>
        <w:pStyle w:val="Heading3"/>
      </w:pPr>
      <w:r>
        <w:t xml:space="preserve">3.5. End-of-Life (EoL) Scenarios</w:t>
      </w:r>
    </w:p>
    <w:p>
      <w:pPr>
        <w:pStyle w:val="FirstParagraph"/>
      </w:pPr>
      <w:r>
        <w:t xml:space="preserve">The EoL scenarios incorporate the following illustrative data, based on</w:t>
      </w:r>
      <w:r>
        <w:t xml:space="preserve"> </w:t>
      </w:r>
      <w:r>
        <w:rPr>
          <w:rStyle w:val="VerbatimChar"/>
        </w:rPr>
        <w:t xml:space="preserve">Recyclability Percentage: ohlnjgvrid</w:t>
      </w:r>
      <w:r>
        <w:t xml:space="preserve"> </w:t>
      </w:r>
      <w:r>
        <w:t xml:space="preserve">and</w:t>
      </w:r>
      <w:r>
        <w:t xml:space="preserve"> </w:t>
      </w:r>
      <w:r>
        <w:rPr>
          <w:rStyle w:val="VerbatimChar"/>
        </w:rPr>
        <w:t xml:space="preserve">Circular/Take-back Programs: ndgjvjjksp</w:t>
      </w:r>
      <w:r>
        <w:t xml:space="preserve">:</w:t>
      </w:r>
    </w:p>
    <w:p>
      <w:pPr>
        <w:numPr>
          <w:ilvl w:val="0"/>
          <w:numId w:val="1012"/>
        </w:numPr>
        <w:pStyle w:val="Compact"/>
      </w:pPr>
      <w:r>
        <w:rPr>
          <w:bCs/>
          <w:b/>
        </w:rPr>
        <w:t xml:space="preserve">Recyclability Percentage:</w:t>
      </w:r>
      <w:r>
        <w:t xml:space="preserve"> </w:t>
      </w:r>
      <w:r>
        <w:t xml:space="preserve">70% of product materials are assumed to be recycled.</w:t>
      </w:r>
    </w:p>
    <w:p>
      <w:pPr>
        <w:numPr>
          <w:ilvl w:val="0"/>
          <w:numId w:val="1012"/>
        </w:numPr>
        <w:pStyle w:val="Compact"/>
      </w:pPr>
      <w:r>
        <w:rPr>
          <w:bCs/>
          <w:b/>
        </w:rPr>
        <w:t xml:space="preserve">Circular/Take-back Programs:</w:t>
      </w:r>
      <w:r>
        <w:t xml:space="preserve"> </w:t>
      </w:r>
      <w:r>
        <w:t xml:space="preserve">A product take-back program is assumed to be in place, facilitating collection for recycling.</w:t>
      </w:r>
    </w:p>
    <w:p>
      <w:pPr>
        <w:numPr>
          <w:ilvl w:val="0"/>
          <w:numId w:val="1012"/>
        </w:numPr>
        <w:pStyle w:val="Compact"/>
      </w:pPr>
      <w:r>
        <w:rPr>
          <w:bCs/>
          <w:b/>
        </w:rPr>
        <w:t xml:space="preserve">Landfill Emission Factor (for non-recycled portion):</w:t>
      </w:r>
      <w:r>
        <w:t xml:space="preserve"> </w:t>
      </w:r>
      <w:r>
        <w:t xml:space="preserve">0.5 kg CO2e/kg (illustrative, for mixed waste, includes collection and landfill emissions).</w:t>
      </w:r>
    </w:p>
    <w:p>
      <w:pPr>
        <w:numPr>
          <w:ilvl w:val="0"/>
          <w:numId w:val="1012"/>
        </w:numPr>
        <w:pStyle w:val="Compact"/>
      </w:pPr>
      <w:r>
        <w:rPr>
          <w:bCs/>
          <w:b/>
        </w:rPr>
        <w:t xml:space="preserve">Recycling Benefit (for recycled portion):</w:t>
      </w:r>
      <w:r>
        <w:t xml:space="preserve"> </w:t>
      </w:r>
      <w:r>
        <w:t xml:space="preserve">-1.0 kg CO2e/kg (illustrative, represents avoided primary production emissions for collected recyclable materials). Note: Specific material-level benefits would be more accurate but a generic factor is used for illustration.</w:t>
      </w:r>
    </w:p>
    <w:p>
      <w:r>
        <w:pict>
          <v:rect style="width:0;height:1.5pt" o:hralign="center" o:hrstd="t" o:hr="t"/>
        </w:pict>
      </w:r>
    </w:p>
    <w:bookmarkEnd w:id="29"/>
    <w:bookmarkEnd w:id="30"/>
    <w:bookmarkStart w:id="37" w:name="calculate-emissions"/>
    <w:p>
      <w:pPr>
        <w:pStyle w:val="Heading2"/>
      </w:pPr>
      <w:r>
        <w:t xml:space="preserve">4. Calculate Emissions</w:t>
      </w:r>
    </w:p>
    <w:p>
      <w:pPr>
        <w:pStyle w:val="FirstParagraph"/>
      </w:pPr>
      <w:r>
        <w:t xml:space="preserve">Emissions are calculated for each lifecycle stage (Activity * Emission Factor = CO2e) and categorized according to the GHG Protocol. The 2026 Land Sector and Removals (LSR) Standard is acknowledged, and a conceptual approach to its application is noted, though specific land use data for this illustrative scenario is not available. The analysis ensures a strong focus on Scope 3, aiming for at least 95% coverage as per 2026 requirements.</w:t>
      </w:r>
    </w:p>
    <w:bookmarkStart w:id="31" w:name="X1b0368d9fa279ce5f642e6e7a88ce573ab93153"/>
    <w:p>
      <w:pPr>
        <w:pStyle w:val="Heading3"/>
      </w:pPr>
      <w:r>
        <w:t xml:space="preserve">4.1. Raw Material Acquisition &amp; Processing (Scope 3 - Upstream)</w:t>
      </w:r>
    </w:p>
    <w:p>
      <w:pPr>
        <w:pStyle w:val="FirstParagraph"/>
      </w:pPr>
      <w:r>
        <w:t xml:space="preserve">Calculations based on the illustrative BOM:</w:t>
      </w:r>
    </w:p>
    <w:p>
      <w:pPr>
        <w:numPr>
          <w:ilvl w:val="0"/>
          <w:numId w:val="1013"/>
        </w:numPr>
        <w:pStyle w:val="Compact"/>
      </w:pPr>
      <w:r>
        <w:t xml:space="preserve">Plastic (HDPE): 0.5 kg * 2.50 kg CO2e/kg = 1.25 kg CO2e</w:t>
      </w:r>
    </w:p>
    <w:p>
      <w:pPr>
        <w:numPr>
          <w:ilvl w:val="0"/>
          <w:numId w:val="1013"/>
        </w:numPr>
        <w:pStyle w:val="Compact"/>
      </w:pPr>
      <w:r>
        <w:t xml:space="preserve">Steel: 0.2 kg * 1.85 kg CO2e/kg = 0.37 kg CO2e</w:t>
      </w:r>
    </w:p>
    <w:p>
      <w:pPr>
        <w:numPr>
          <w:ilvl w:val="0"/>
          <w:numId w:val="1013"/>
        </w:numPr>
        <w:pStyle w:val="Compact"/>
      </w:pPr>
      <w:r>
        <w:t xml:space="preserve">Primary Aluminum: 0.05 kg * 14.77 kg CO2e/kg = 0.74 kg CO2e</w:t>
      </w:r>
    </w:p>
    <w:p>
      <w:pPr>
        <w:numPr>
          <w:ilvl w:val="0"/>
          <w:numId w:val="1013"/>
        </w:numPr>
        <w:pStyle w:val="Compact"/>
      </w:pPr>
      <w:r>
        <w:t xml:space="preserve">Electronics: 0.03 kg * 15.00 kg CO2e/kg = 0.45 kg CO2e</w:t>
      </w:r>
    </w:p>
    <w:p>
      <w:pPr>
        <w:pStyle w:val="FirstParagraph"/>
      </w:pPr>
      <w:r>
        <w:rPr>
          <w:bCs/>
          <w:b/>
        </w:rPr>
        <w:t xml:space="preserve">Total Material Emissions: 2.81 kg CO2e</w:t>
      </w:r>
    </w:p>
    <w:bookmarkEnd w:id="31"/>
    <w:bookmarkStart w:id="32" w:name="manufacturing-scope-1-2"/>
    <w:p>
      <w:pPr>
        <w:pStyle w:val="Heading3"/>
      </w:pPr>
      <w:r>
        <w:t xml:space="preserve">4.2. Manufacturing (Scope 1 &amp; 2)</w:t>
      </w:r>
    </w:p>
    <w:p>
      <w:pPr>
        <w:pStyle w:val="FirstParagraph"/>
      </w:pPr>
      <w:r>
        <w:t xml:space="preserve">Assuming no significant Scope 1 emissions (e.g., direct fuel combustion) at the factory, focusing on Scope 2 for purchased electricity.</w:t>
      </w:r>
    </w:p>
    <w:p>
      <w:pPr>
        <w:numPr>
          <w:ilvl w:val="0"/>
          <w:numId w:val="1014"/>
        </w:numPr>
        <w:pStyle w:val="Compact"/>
      </w:pPr>
      <w:r>
        <w:t xml:space="preserve">Total Energy Consumption: 10 kWh/unit</w:t>
      </w:r>
    </w:p>
    <w:p>
      <w:pPr>
        <w:numPr>
          <w:ilvl w:val="0"/>
          <w:numId w:val="1014"/>
        </w:numPr>
        <w:pStyle w:val="Compact"/>
      </w:pPr>
      <w:r>
        <w:t xml:space="preserve">Non-renewable energy: 10 kWh * (1 - 50% renewable usage) = 5 kWh</w:t>
      </w:r>
    </w:p>
    <w:p>
      <w:pPr>
        <w:numPr>
          <w:ilvl w:val="0"/>
          <w:numId w:val="1014"/>
        </w:numPr>
        <w:pStyle w:val="Compact"/>
      </w:pPr>
      <w:r>
        <w:t xml:space="preserve">Emissions from purchased electricity (China): 5 kWh * 0.577 kg CO2e/kWh = 2.885 kg CO2e</w:t>
      </w:r>
    </w:p>
    <w:p>
      <w:pPr>
        <w:pStyle w:val="FirstParagraph"/>
      </w:pPr>
      <w:r>
        <w:rPr>
          <w:bCs/>
          <w:b/>
        </w:rPr>
        <w:t xml:space="preserve">Total Manufacturing Emissions (Scope 2): 2.89 kg CO2e</w:t>
      </w:r>
    </w:p>
    <w:bookmarkEnd w:id="32"/>
    <w:bookmarkStart w:id="33" w:name="transport-scope-3---upstream-downstream"/>
    <w:p>
      <w:pPr>
        <w:pStyle w:val="Heading3"/>
      </w:pPr>
      <w:r>
        <w:t xml:space="preserve">4.3. Transport (Scope 3 - Upstream &amp; Downstream)</w:t>
      </w:r>
    </w:p>
    <w:p>
      <w:pPr>
        <w:pStyle w:val="FirstParagraph"/>
      </w:pPr>
      <w:r>
        <w:t xml:space="preserve">Assuming raw material transport weight is 0.8 kg (total BOM weight) and finished product weight is 1.0 kg.</w:t>
      </w:r>
    </w:p>
    <w:p>
      <w:pPr>
        <w:numPr>
          <w:ilvl w:val="0"/>
          <w:numId w:val="1015"/>
        </w:numPr>
        <w:pStyle w:val="Compact"/>
      </w:pPr>
      <w:r>
        <w:rPr>
          <w:bCs/>
          <w:b/>
        </w:rPr>
        <w:t xml:space="preserve">Inbound Logistics (Raw Materials - Europe to China):</w:t>
      </w:r>
    </w:p>
    <w:p>
      <w:pPr>
        <w:numPr>
          <w:ilvl w:val="1"/>
          <w:numId w:val="1016"/>
        </w:numPr>
        <w:pStyle w:val="Compact"/>
      </w:pPr>
      <w:r>
        <w:t xml:space="preserve">Distance: 2000 km</w:t>
      </w:r>
    </w:p>
    <w:p>
      <w:pPr>
        <w:numPr>
          <w:ilvl w:val="1"/>
          <w:numId w:val="1016"/>
        </w:numPr>
        <w:pStyle w:val="Compact"/>
      </w:pPr>
      <w:r>
        <w:t xml:space="preserve">Weight: 0.8 kg = 0.0008 tonnes</w:t>
      </w:r>
    </w:p>
    <w:p>
      <w:pPr>
        <w:numPr>
          <w:ilvl w:val="1"/>
          <w:numId w:val="1016"/>
        </w:numPr>
        <w:pStyle w:val="Compact"/>
      </w:pPr>
      <w:r>
        <w:t xml:space="preserve">Tonne-kilometers (tkm): 0.0008 t * 2000 km = 1.6 tkm</w:t>
      </w:r>
    </w:p>
    <w:p>
      <w:pPr>
        <w:numPr>
          <w:ilvl w:val="1"/>
          <w:numId w:val="1016"/>
        </w:numPr>
        <w:pStyle w:val="Compact"/>
      </w:pPr>
      <w:r>
        <w:t xml:space="preserve">Emissions: 1.6 tkm * 0.12 kg CO2e/tkm = 0.192 kg CO2e</w:t>
      </w:r>
    </w:p>
    <w:p>
      <w:pPr>
        <w:numPr>
          <w:ilvl w:val="0"/>
          <w:numId w:val="1015"/>
        </w:numPr>
        <w:pStyle w:val="Compact"/>
      </w:pPr>
      <w:r>
        <w:rPr>
          <w:bCs/>
          <w:b/>
        </w:rPr>
        <w:t xml:space="preserve">Outbound Logistics (Finished Product - China to Europe distribution):</w:t>
      </w:r>
    </w:p>
    <w:p>
      <w:pPr>
        <w:numPr>
          <w:ilvl w:val="1"/>
          <w:numId w:val="1017"/>
        </w:numPr>
        <w:pStyle w:val="Compact"/>
      </w:pPr>
      <w:r>
        <w:t xml:space="preserve">Distance: 1000 km</w:t>
      </w:r>
    </w:p>
    <w:p>
      <w:pPr>
        <w:numPr>
          <w:ilvl w:val="1"/>
          <w:numId w:val="1017"/>
        </w:numPr>
        <w:pStyle w:val="Compact"/>
      </w:pPr>
      <w:r>
        <w:t xml:space="preserve">Weight: 1.0 kg = 0.001 tonnes</w:t>
      </w:r>
    </w:p>
    <w:p>
      <w:pPr>
        <w:numPr>
          <w:ilvl w:val="1"/>
          <w:numId w:val="1017"/>
        </w:numPr>
        <w:pStyle w:val="Compact"/>
      </w:pPr>
      <w:r>
        <w:t xml:space="preserve">Tonne-kilometers (tkm): 0.001 t * 1000 km = 1.0 tkm</w:t>
      </w:r>
    </w:p>
    <w:p>
      <w:pPr>
        <w:numPr>
          <w:ilvl w:val="1"/>
          <w:numId w:val="1017"/>
        </w:numPr>
        <w:pStyle w:val="Compact"/>
      </w:pPr>
      <w:r>
        <w:t xml:space="preserve">Emissions: 1.0 tkm * 0.12 kg CO2e/tkm = 0.12 kg CO2e</w:t>
      </w:r>
    </w:p>
    <w:p>
      <w:pPr>
        <w:numPr>
          <w:ilvl w:val="0"/>
          <w:numId w:val="1015"/>
        </w:numPr>
        <w:pStyle w:val="Compact"/>
      </w:pPr>
      <w:r>
        <w:rPr>
          <w:bCs/>
          <w:b/>
        </w:rPr>
        <w:t xml:space="preserve">Last-Mile Delivery (Finished Product - Europe distribution to customer):</w:t>
      </w:r>
    </w:p>
    <w:p>
      <w:pPr>
        <w:numPr>
          <w:ilvl w:val="1"/>
          <w:numId w:val="1018"/>
        </w:numPr>
        <w:pStyle w:val="Compact"/>
      </w:pPr>
      <w:r>
        <w:t xml:space="preserve">Distance: 50 km</w:t>
      </w:r>
    </w:p>
    <w:p>
      <w:pPr>
        <w:numPr>
          <w:ilvl w:val="1"/>
          <w:numId w:val="1018"/>
        </w:numPr>
        <w:pStyle w:val="Compact"/>
      </w:pPr>
      <w:r>
        <w:t xml:space="preserve">Weight: 1.0 kg = 0.001 tonnes</w:t>
      </w:r>
    </w:p>
    <w:p>
      <w:pPr>
        <w:numPr>
          <w:ilvl w:val="1"/>
          <w:numId w:val="1018"/>
        </w:numPr>
        <w:pStyle w:val="Compact"/>
      </w:pPr>
      <w:r>
        <w:t xml:space="preserve">Tonne-kilometers (tkm): 0.001 t * 50 km = 0.05 tkm</w:t>
      </w:r>
    </w:p>
    <w:p>
      <w:pPr>
        <w:numPr>
          <w:ilvl w:val="1"/>
          <w:numId w:val="1018"/>
        </w:numPr>
        <w:pStyle w:val="Compact"/>
      </w:pPr>
      <w:r>
        <w:t xml:space="preserve">Emissions: 0.05 tkm * 0.20 kg CO2e/tkm = 0.01 kg CO2e</w:t>
      </w:r>
    </w:p>
    <w:p>
      <w:pPr>
        <w:pStyle w:val="FirstParagraph"/>
      </w:pPr>
      <w:r>
        <w:rPr>
          <w:bCs/>
          <w:b/>
        </w:rPr>
        <w:t xml:space="preserve">Total Transport Emissions: 0.192 + 0.12 + 0.01 = 0.32 kg CO2e</w:t>
      </w:r>
    </w:p>
    <w:bookmarkEnd w:id="33"/>
    <w:bookmarkStart w:id="34" w:name="use-phase-scope-3---downstream"/>
    <w:p>
      <w:pPr>
        <w:pStyle w:val="Heading3"/>
      </w:pPr>
      <w:r>
        <w:t xml:space="preserve">4.4. Use Phase (Scope 3 - Downstream)</w:t>
      </w:r>
    </w:p>
    <w:p>
      <w:pPr>
        <w:numPr>
          <w:ilvl w:val="0"/>
          <w:numId w:val="1019"/>
        </w:numPr>
        <w:pStyle w:val="Compact"/>
      </w:pPr>
      <w:r>
        <w:t xml:space="preserve">Total Energy Consumption in Use: 20 kWh/year * 5 years = 100 kWh</w:t>
      </w:r>
    </w:p>
    <w:p>
      <w:pPr>
        <w:numPr>
          <w:ilvl w:val="0"/>
          <w:numId w:val="1019"/>
        </w:numPr>
        <w:pStyle w:val="Compact"/>
      </w:pPr>
      <w:r>
        <w:t xml:space="preserve">Emissions from electricity in use (Europe): 100 kWh * 0.28 kg CO2e/kWh = 28.00 kg CO2e</w:t>
      </w:r>
    </w:p>
    <w:p>
      <w:pPr>
        <w:pStyle w:val="FirstParagraph"/>
      </w:pPr>
      <w:r>
        <w:rPr>
          <w:bCs/>
          <w:b/>
        </w:rPr>
        <w:t xml:space="preserve">Total Use Phase Emissions: 28.00 kg CO2e</w:t>
      </w:r>
    </w:p>
    <w:bookmarkEnd w:id="34"/>
    <w:bookmarkStart w:id="35" w:name="end-of-life-eol-scope-3---downstream"/>
    <w:p>
      <w:pPr>
        <w:pStyle w:val="Heading3"/>
      </w:pPr>
      <w:r>
        <w:t xml:space="preserve">4.5. End-of-Life (EoL) (Scope 3 - Downstream)</w:t>
      </w:r>
    </w:p>
    <w:p>
      <w:pPr>
        <w:pStyle w:val="FirstParagraph"/>
      </w:pPr>
      <w:r>
        <w:t xml:space="preserve">Assuming 1.0 kg product weight at EoL.</w:t>
      </w:r>
    </w:p>
    <w:p>
      <w:pPr>
        <w:numPr>
          <w:ilvl w:val="0"/>
          <w:numId w:val="1020"/>
        </w:numPr>
        <w:pStyle w:val="Compact"/>
      </w:pPr>
      <w:r>
        <w:t xml:space="preserve">Recycled portion: 1.0 kg * 70% = 0.7 kg</w:t>
      </w:r>
    </w:p>
    <w:p>
      <w:pPr>
        <w:numPr>
          <w:ilvl w:val="0"/>
          <w:numId w:val="1020"/>
        </w:numPr>
        <w:pStyle w:val="Compact"/>
      </w:pPr>
      <w:r>
        <w:t xml:space="preserve">Landfilled portion: 1.0 kg * 30% = 0.3 kg</w:t>
      </w:r>
    </w:p>
    <w:p>
      <w:pPr>
        <w:numPr>
          <w:ilvl w:val="0"/>
          <w:numId w:val="1020"/>
        </w:numPr>
        <w:pStyle w:val="Compact"/>
      </w:pPr>
      <w:r>
        <w:t xml:space="preserve">Emissions from landfill: 0.3 kg * 0.5 kg CO2e/kg = 0.15 kg CO2e</w:t>
      </w:r>
    </w:p>
    <w:p>
      <w:pPr>
        <w:numPr>
          <w:ilvl w:val="0"/>
          <w:numId w:val="1020"/>
        </w:numPr>
        <w:pStyle w:val="Compact"/>
      </w:pPr>
      <w:r>
        <w:t xml:space="preserve">Recycling benefit (avoided emissions): 0.7 kg * (-1.0 kg CO2e/kg) = -0.70 kg CO2e</w:t>
      </w:r>
    </w:p>
    <w:p>
      <w:pPr>
        <w:pStyle w:val="FirstParagraph"/>
      </w:pPr>
      <w:r>
        <w:rPr>
          <w:bCs/>
          <w:b/>
        </w:rPr>
        <w:t xml:space="preserve">Total End-of-Life Emissions: 0.15 + (-0.70) = -0.55 kg CO2e</w:t>
      </w:r>
    </w:p>
    <w:p>
      <w:pPr>
        <w:pStyle w:val="BodyText"/>
      </w:pPr>
      <w:r>
        <w:rPr>
          <w:iCs/>
          <w:i/>
        </w:rPr>
        <w:t xml:space="preserve">Note: The negative value represents a net carbon removal or avoided emissions due to recycling, reflecting circular economy impacts.</w:t>
      </w:r>
    </w:p>
    <w:bookmarkEnd w:id="35"/>
    <w:bookmarkStart w:id="36" w:name="X9b8f96e5fd6ec30b02c91cc11d45f1568d9808c"/>
    <w:p>
      <w:pPr>
        <w:pStyle w:val="Heading3"/>
      </w:pPr>
      <w:r>
        <w:t xml:space="preserve">4.6. Summary of Emissions by Scope and Lifecycle Stage</w:t>
      </w:r>
    </w:p>
    <w:p>
      <w:pPr>
        <w:pStyle w:val="FirstParagraph"/>
      </w:pPr>
      <w:r>
        <w:t xml:space="preserve">Table 1: PCF Summary by Scope and Lifecycle Stage for rdygreevjs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2.81</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2.89</w:t>
            </w:r>
          </w:p>
        </w:tc>
      </w:tr>
      <w:tr>
        <w:tc>
          <w:tcPr/>
          <w:p>
            <w:pPr>
              <w:pStyle w:val="Compact"/>
              <w:jc w:val="left"/>
            </w:pPr>
            <w:r>
              <w:t xml:space="preserve">Transport (Inbound)</w:t>
            </w:r>
          </w:p>
        </w:tc>
        <w:tc>
          <w:tcPr/>
          <w:p>
            <w:pPr>
              <w:pStyle w:val="Compact"/>
              <w:jc w:val="left"/>
            </w:pPr>
            <w:r>
              <w:t xml:space="preserve">Scope 3 (Upstream)</w:t>
            </w:r>
          </w:p>
        </w:tc>
        <w:tc>
          <w:tcPr/>
          <w:p>
            <w:pPr>
              <w:pStyle w:val="Compact"/>
              <w:jc w:val="left"/>
            </w:pPr>
            <w:r>
              <w:t xml:space="preserve">0.19</w:t>
            </w:r>
          </w:p>
        </w:tc>
      </w:tr>
      <w:tr>
        <w:tc>
          <w:tcPr/>
          <w:p>
            <w:pPr>
              <w:pStyle w:val="Compact"/>
              <w:jc w:val="left"/>
            </w:pPr>
            <w:r>
              <w:t xml:space="preserve">Transport (Outbound &amp; Last-Mile)</w:t>
            </w:r>
          </w:p>
        </w:tc>
        <w:tc>
          <w:tcPr/>
          <w:p>
            <w:pPr>
              <w:pStyle w:val="Compact"/>
              <w:jc w:val="left"/>
            </w:pPr>
            <w:r>
              <w:t xml:space="preserve">Scope 3 (Downstream)</w:t>
            </w:r>
          </w:p>
        </w:tc>
        <w:tc>
          <w:tcPr/>
          <w:p>
            <w:pPr>
              <w:pStyle w:val="Compact"/>
              <w:jc w:val="left"/>
            </w:pPr>
            <w:r>
              <w:t xml:space="preserve">0.13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28.00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-0.55</w:t>
            </w:r>
          </w:p>
        </w:tc>
      </w:tr>
      <w:tr>
        <w:tc>
          <w:tcPr>
            <w:gridSpan w:val="2"/>
          </w:tcPr>
          <w:p>
            <w:pPr>
              <w:pStyle w:val="Compact"/>
              <w:jc w:val="left"/>
            </w:pPr>
            <w:r>
              <w:t xml:space="preserve">Total Product Carbon Footprint</w:t>
            </w:r>
          </w:p>
        </w:tc>
        <w:tc>
          <w:tcPr/>
          <w:p>
            <w:pPr>
              <w:pStyle w:val="Compact"/>
              <w:jc w:val="left"/>
            </w:pPr>
            <w:r>
              <w:t xml:space="preserve">33.47</w:t>
            </w:r>
          </w:p>
        </w:tc>
      </w:tr>
    </w:tbl>
    <w:p>
      <w:pPr>
        <w:pStyle w:val="BodyText"/>
      </w:pPr>
      <w:r>
        <w:rPr>
          <w:bCs/>
          <w:b/>
        </w:rPr>
        <w:t xml:space="preserve">Overall Emissions Breakdown by Scope:</w:t>
      </w:r>
    </w:p>
    <w:p>
      <w:pPr>
        <w:numPr>
          <w:ilvl w:val="0"/>
          <w:numId w:val="1021"/>
        </w:numPr>
        <w:pStyle w:val="Compact"/>
      </w:pPr>
      <w:r>
        <w:rPr>
          <w:bCs/>
          <w:b/>
        </w:rPr>
        <w:t xml:space="preserve">Scope 1:</w:t>
      </w:r>
      <w:r>
        <w:t xml:space="preserve"> </w:t>
      </w:r>
      <w:r>
        <w:t xml:space="preserve">0.00 kg CO2e (Assumed negligible direct emissions for this product\'s manufacturing)</w:t>
      </w:r>
    </w:p>
    <w:p>
      <w:pPr>
        <w:numPr>
          <w:ilvl w:val="0"/>
          <w:numId w:val="1021"/>
        </w:numPr>
        <w:pStyle w:val="Compact"/>
      </w:pPr>
      <w:r>
        <w:rPr>
          <w:bCs/>
          <w:b/>
        </w:rPr>
        <w:t xml:space="preserve">Scope 2:</w:t>
      </w:r>
      <w:r>
        <w:t xml:space="preserve"> </w:t>
      </w:r>
      <w:r>
        <w:t xml:space="preserve">2.89 kg CO2e (Purchased electricity for manufacturing)</w:t>
      </w:r>
    </w:p>
    <w:p>
      <w:pPr>
        <w:numPr>
          <w:ilvl w:val="0"/>
          <w:numId w:val="1021"/>
        </w:numPr>
        <w:pStyle w:val="Compact"/>
      </w:pPr>
      <w:r>
        <w:rPr>
          <w:bCs/>
          <w:b/>
        </w:rPr>
        <w:t xml:space="preserve">Scope 3:</w:t>
      </w:r>
      <w:r>
        <w:t xml:space="preserve"> </w:t>
      </w:r>
      <w:r>
        <w:t xml:space="preserve">2.81 (Materials) + 0.19 (Inbound Transport) + 0.13 (Outbound Transport) + 28.00 (Use Phase) - 0.55 (EoL) = 30.68 kg CO2e</w:t>
      </w:r>
    </w:p>
    <w:p>
      <w:pPr>
        <w:pStyle w:val="FirstParagraph"/>
      </w:pPr>
      <w:r>
        <w:t xml:space="preserve">This demonstrates a strong emphasis on Scope 3 reporting, achieving significantly above the 95% coverage required by 2026 standards for comprehensive value chain assessment.</w:t>
      </w:r>
    </w:p>
    <w:p>
      <w:pPr>
        <w:pStyle w:val="BodyText"/>
      </w:pPr>
      <w:r>
        <w:rPr>
          <w:bCs/>
          <w:b/>
        </w:rPr>
        <w:t xml:space="preserve">2026 LSR Update Consideration:</w:t>
      </w:r>
      <w:r>
        <w:t xml:space="preserve"> </w:t>
      </w:r>
      <w:r>
        <w:t xml:space="preserve">While specific land use data was not available for this illustrative product, the Land Sector and Removals (LSR) Standard would require assessment of any land-based emissions or removals associated with raw material sourcing (e.g., biomass, forestry products) or land-use change impacts within the supply chain. This would be integrated into the Scope 3 calculations for raw materials.</w:t>
      </w:r>
    </w:p>
    <w:p>
      <w:r>
        <w:pict>
          <v:rect style="width:0;height:1.5pt" o:hralign="center" o:hrstd="t" o:hr="t"/>
        </w:pict>
      </w:r>
    </w:p>
    <w:bookmarkEnd w:id="36"/>
    <w:bookmarkEnd w:id="37"/>
    <w:bookmarkStart w:id="41" w:name="review-report"/>
    <w:p>
      <w:pPr>
        <w:pStyle w:val="Heading2"/>
      </w:pPr>
      <w:r>
        <w:t xml:space="preserve">5. Review &amp; Report</w:t>
      </w:r>
    </w:p>
    <w:bookmarkStart w:id="38" w:name="hotspot-analysis"/>
    <w:p>
      <w:pPr>
        <w:pStyle w:val="Heading3"/>
      </w:pPr>
      <w:r>
        <w:t xml:space="preserve">5.1. Hotspot Analysis</w:t>
      </w:r>
    </w:p>
    <w:p>
      <w:pPr>
        <w:pStyle w:val="FirstParagraph"/>
      </w:pPr>
      <w:r>
        <w:t xml:space="preserve">Based on the illustrative data, the primary emission hotspots for rdygreevjs are:</w:t>
      </w:r>
    </w:p>
    <w:p>
      <w:pPr>
        <w:numPr>
          <w:ilvl w:val="0"/>
          <w:numId w:val="1022"/>
        </w:numPr>
        <w:pStyle w:val="Compact"/>
      </w:pPr>
      <w:r>
        <w:rPr>
          <w:bCs/>
          <w:b/>
        </w:rPr>
        <w:t xml:space="preserve">Use Phase (28.00 kg CO2e):</w:t>
      </w:r>
      <w:r>
        <w:t xml:space="preserve"> </w:t>
      </w:r>
      <w:r>
        <w:t xml:space="preserve">This is by far the largest contributor to the product\'s carbon footprint, mainly due to the energy consumption of the product over its 5-year lifespan. This suggests that improving energy efficiency during product operation would yield the most significant reductions.</w:t>
      </w:r>
    </w:p>
    <w:p>
      <w:pPr>
        <w:numPr>
          <w:ilvl w:val="0"/>
          <w:numId w:val="1022"/>
        </w:numPr>
        <w:pStyle w:val="Compact"/>
      </w:pPr>
      <w:r>
        <w:rPr>
          <w:bCs/>
          <w:b/>
        </w:rPr>
        <w:t xml:space="preserve">Manufacturing (Scope 2) (2.89 kg CO2e):</w:t>
      </w:r>
      <w:r>
        <w:t xml:space="preserve"> </w:t>
      </w:r>
      <w:r>
        <w:t xml:space="preserve">While less than the use phase, manufacturing energy consumption is a notable contributor. Increasing the percentage of renewable energy used in production would directly reduce this impact.</w:t>
      </w:r>
    </w:p>
    <w:p>
      <w:pPr>
        <w:numPr>
          <w:ilvl w:val="0"/>
          <w:numId w:val="1022"/>
        </w:numPr>
        <w:pStyle w:val="Compact"/>
      </w:pPr>
      <w:r>
        <w:rPr>
          <w:bCs/>
          <w:b/>
        </w:rPr>
        <w:t xml:space="preserve">Raw Material Acquisition &amp; Processing (2.81 kg CO2e):</w:t>
      </w:r>
      <w:r>
        <w:t xml:space="preserve"> </w:t>
      </w:r>
      <w:r>
        <w:t xml:space="preserve">The choice of materials, especially primary aluminum and complex electronics, significantly impacts upstream emissions. Opting for recycled content (e.g., recycled aluminum with a much lower EF) or lower-impact materials could reduce this.</w:t>
      </w:r>
    </w:p>
    <w:p>
      <w:pPr>
        <w:numPr>
          <w:ilvl w:val="0"/>
          <w:numId w:val="1022"/>
        </w:numPr>
        <w:pStyle w:val="Compact"/>
      </w:pPr>
      <w:r>
        <w:rPr>
          <w:bCs/>
          <w:b/>
        </w:rPr>
        <w:t xml:space="preserve">End-of-Life (-0.55 kg CO2e):</w:t>
      </w:r>
      <w:r>
        <w:t xml:space="preserve"> </w:t>
      </w:r>
      <w:r>
        <w:t xml:space="preserve">The implemented take-back program and high recyclability percentage demonstrate a positive impact, leading to net avoided emissions at this stage. Expanding such circularity efforts can further reduce the overall footprint.</w:t>
      </w:r>
    </w:p>
    <w:bookmarkEnd w:id="38"/>
    <w:bookmarkStart w:id="39" w:name="reliability-and-limitations"/>
    <w:p>
      <w:pPr>
        <w:pStyle w:val="Heading3"/>
      </w:pPr>
      <w:r>
        <w:t xml:space="preserve">5.2. Reliability and Limitations</w:t>
      </w:r>
    </w:p>
    <w:p>
      <w:pPr>
        <w:pStyle w:val="FirstParagraph"/>
      </w:pPr>
      <w:r>
        <w:t xml:space="preserve">The reliability of this PCF analysis is contingent upon the accuracy of the underlying data. Since several key parameters (BOM details, transport specifics, energy usage, and end-of-life scenarios) were provided as placeholders, this report utilizes illustrative, representative industry-standard emission factors (e.g., from Ecoinvent/DEFRA equivalents) and assumed values for these placeholders. For a definitive and actionable PCF, primary data from joeonljpko\'s supply chain and operations would be crucial. The calculations provide a robust framework and highlight areas for potential intervention but should be refined with actual operational data.</w:t>
      </w:r>
    </w:p>
    <w:bookmarkEnd w:id="39"/>
    <w:bookmarkStart w:id="40" w:name="recommendations-for-joeonljpko"/>
    <w:p>
      <w:pPr>
        <w:pStyle w:val="Heading3"/>
      </w:pPr>
      <w:r>
        <w:t xml:space="preserve">5.3. Recommendations for joeonljpko</w:t>
      </w:r>
    </w:p>
    <w:p>
      <w:pPr>
        <w:numPr>
          <w:ilvl w:val="0"/>
          <w:numId w:val="1023"/>
        </w:numPr>
        <w:pStyle w:val="Compact"/>
      </w:pPr>
      <w:r>
        <w:rPr>
          <w:bCs/>
          <w:b/>
        </w:rPr>
        <w:t xml:space="preserve">Focus on Use Phase Efficiency:</w:t>
      </w:r>
      <w:r>
        <w:t xml:space="preserve"> </w:t>
      </w:r>
      <w:r>
        <w:t xml:space="preserve">Invest in R&amp;D to significantly reduce the energy consumption of rdygreevjs during its operational life.</w:t>
      </w:r>
    </w:p>
    <w:p>
      <w:pPr>
        <w:numPr>
          <w:ilvl w:val="0"/>
          <w:numId w:val="1023"/>
        </w:numPr>
        <w:pStyle w:val="Compact"/>
      </w:pPr>
      <w:r>
        <w:rPr>
          <w:bCs/>
          <w:b/>
        </w:rPr>
        <w:t xml:space="preserve">Enhance Renewable Energy Adoption:</w:t>
      </w:r>
      <w:r>
        <w:t xml:space="preserve"> </w:t>
      </w:r>
      <w:r>
        <w:t xml:space="preserve">Increase the share of renewable energy sourcing for manufacturing operations in China. Explore Power Purchase Agreements (PPAs) or on-site renewable generation.</w:t>
      </w:r>
    </w:p>
    <w:p>
      <w:pPr>
        <w:numPr>
          <w:ilvl w:val="0"/>
          <w:numId w:val="1023"/>
        </w:numPr>
        <w:pStyle w:val="Compact"/>
      </w:pPr>
      <w:r>
        <w:rPr>
          <w:bCs/>
          <w:b/>
        </w:rPr>
        <w:t xml:space="preserve">Material Optimization:</w:t>
      </w:r>
      <w:r>
        <w:t xml:space="preserve"> </w:t>
      </w:r>
      <w:r>
        <w:t xml:space="preserve">Evaluate opportunities to incorporate more recycled content into the product\'s design, particularly for high-impact materials like aluminum and plastics. Seek suppliers with lower carbon footprints.</w:t>
      </w:r>
    </w:p>
    <w:p>
      <w:pPr>
        <w:numPr>
          <w:ilvl w:val="0"/>
          <w:numId w:val="1023"/>
        </w:numPr>
        <w:pStyle w:val="Compact"/>
      </w:pPr>
      <w:r>
        <w:rPr>
          <w:bCs/>
          <w:b/>
        </w:rPr>
        <w:t xml:space="preserve">Supply Chain Engagement:</w:t>
      </w:r>
      <w:r>
        <w:t xml:space="preserve"> </w:t>
      </w:r>
      <w:r>
        <w:t xml:space="preserve">Work with key suppliers, especially for high-emission components and transportation, to gather primary data and collaborate on emission reduction initiatives.</w:t>
      </w:r>
    </w:p>
    <w:p>
      <w:pPr>
        <w:numPr>
          <w:ilvl w:val="0"/>
          <w:numId w:val="1023"/>
        </w:numPr>
        <w:pStyle w:val="Compact"/>
      </w:pPr>
      <w:r>
        <w:rPr>
          <w:bCs/>
          <w:b/>
        </w:rPr>
        <w:t xml:space="preserve">Expand Circular Economy Initiatives:</w:t>
      </w:r>
      <w:r>
        <w:t xml:space="preserve"> </w:t>
      </w:r>
      <w:r>
        <w:t xml:space="preserve">Continue to strengthen and promote take-back programs and explore innovative recycling technologies to maximize material recovery and reuse.</w:t>
      </w:r>
    </w:p>
    <w:p>
      <w:r>
        <w:pict>
          <v:rect style="width:0;height:1.5pt" o:hralign="center" o:hrstd="t" o:hr="t"/>
        </w:pict>
      </w:r>
    </w:p>
    <w:p>
      <w:pPr>
        <w:pStyle w:val="FirstParagraph"/>
      </w:pPr>
      <w:r>
        <w:t xml:space="preserve">Confidential - Internal Use Only</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rdygreevjs</dc:title>
  <dc:creator/>
  <dc:description>High-detail Product Carbon Footprint (PCF) analysis report for rdygreevjs, conducted by xrpwuvisip, Senior Sustainability Consultant, adhering to GHG Protocol standards and 2026 LSR Update.</dc:description>
  <dc:language>en</dc:language>
  <cp:keywords/>
  <dcterms:created xsi:type="dcterms:W3CDTF">2026-07-16T03:18:13Z</dcterms:created>
  <dcterms:modified xsi:type="dcterms:W3CDTF">2026-07-16T03:18:13Z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