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rdtmnogtfs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rdtmnogtfs</w:t>
      </w:r>
    </w:p>
    <w:p>
      <w:pPr>
        <w:pStyle w:val="BodyText"/>
      </w:pPr>
      <w:r>
        <w:t xml:space="preserve">For Company: zmivzgqfwe</w:t>
      </w:r>
    </w:p>
    <w:p>
      <w:pPr>
        <w:pStyle w:val="BodyText"/>
      </w:pPr>
      <w:r>
        <w:t xml:space="preserve">Prepared by: tokpyduhop</w:t>
      </w:r>
    </w:p>
    <w:p>
      <w:pPr>
        <w:pStyle w:val="BodyText"/>
      </w:pPr>
      <w:r>
        <w:t xml:space="preserve">Senior Sustainability Consultant</w:t>
      </w:r>
    </w:p>
    <w:p>
      <w:pPr>
        <w:pStyle w:val="BodyText"/>
      </w:pPr>
      <w:r>
        <w:t xml:space="preserve">Disclaimer: This report is generated based on available data and industry standards, providing a high-level estimation. Specific primary data would enhance accuracy further. Emission factors used are illustrative and sourced from general industry averages (e.g., Ecoinvent/DEFRA equivalents) and specific search results where applicable.</w:t>
      </w:r>
    </w:p>
    <w:p>
      <w:pPr>
        <w:pStyle w:val="BodyText"/>
      </w:pPr>
      <w:r>
        <w:rPr>
          <w:bCs/>
          <w:b/>
        </w:rPr>
        <w:t xml:space="preserve">Accounting Standard: GHG Protocol</w:t>
      </w:r>
    </w:p>
    <w:p>
      <w:pPr>
        <w:pStyle w:val="BodyText"/>
      </w:pPr>
      <w:r>
        <w:t xml:space="preserve">Generated Date: May 19, 2026</w:t>
      </w:r>
    </w:p>
    <w:bookmarkEnd w:id="20"/>
    <w:bookmarkStart w:id="43" w:name="X75d4a9ce98b37ad8c22d3bd82afaa8ef2769ace"/>
    <w:p>
      <w:pPr>
        <w:pStyle w:val="Heading1"/>
      </w:pPr>
      <w:r>
        <w:t xml:space="preserve">Product Carbon Footprint Analysis for rdtmnogtfs</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bookmarkEnd w:id="21"/>
    <w:p>
      <w:pPr>
        <w:pStyle w:val="FirstParagraph"/>
      </w:pPr>
      <w:r>
        <w:t xml:space="preserve">This report presents a high-detail Product Carbon Footprint (PCF) analysis for the product</w:t>
      </w:r>
      <w:r>
        <w:t xml:space="preserve"> </w:t>
      </w:r>
      <w:r>
        <w:rPr>
          <w:bCs/>
          <w:b/>
        </w:rPr>
        <w:t xml:space="preserve">rdtmnogtfs</w:t>
      </w:r>
      <w:r>
        <w:t xml:space="preserve">, manufactured by</w:t>
      </w:r>
      <w:r>
        <w:t xml:space="preserve"> </w:t>
      </w:r>
      <w:r>
        <w:rPr>
          <w:bCs/>
          <w:b/>
        </w:rPr>
        <w:t xml:space="preserve">zmivzgqfwe</w:t>
      </w:r>
      <w:r>
        <w:t xml:space="preserve">. Conducted by Senior Sustainability Consultant</w:t>
      </w:r>
      <w:r>
        <w:t xml:space="preserve"> </w:t>
      </w:r>
      <w:r>
        <w:rPr>
          <w:bCs/>
          <w:b/>
        </w:rPr>
        <w:t xml:space="preserve">tokpyduhop</w:t>
      </w:r>
      <w:r>
        <w:t xml:space="preserve">, this analysis adheres strictly to the GHG Protocol accounting standard, incorporating principles from the 2026 Land Sector and Removals (LSR) Standard and targeting at least 95% Scope 3 coverage. The PCF quantifies the total Greenhouse Gas (GHG) emissions associated with the product\'s entire lifecycle, from raw material extraction to end-of-life treatment. Key emission hotspots identified include the use phase due to energy consumption and the material acquisition phase. Recommendations focus on improving energy efficiency, increasing renewable energy adoption, and enhancing circular economy initiatives.</w:t>
      </w:r>
    </w:p>
    <w:p>
      <w:r>
        <w:pict>
          <v:rect style="width:0;height:1.5pt" o:hralign="center" o:hrstd="t" o:hr="t"/>
        </w:pict>
      </w:r>
    </w:p>
    <w:bookmarkStart w:id="22" w:name="define-scope"/>
    <w:p>
      <w:pPr>
        <w:pStyle w:val="Heading2"/>
      </w:pPr>
      <w:r>
        <w:t xml:space="preserve">1. Define Scope</w:t>
      </w:r>
    </w:p>
    <w:bookmarkEnd w:id="22"/>
    <w:p>
      <w:pPr>
        <w:pStyle w:val="FirstParagraph"/>
      </w:pPr>
      <w:r>
        <w:t xml:space="preserve">This section outlines the foundational parameters guiding the PCF analysis for</w:t>
      </w:r>
      <w:r>
        <w:t xml:space="preserve"> </w:t>
      </w:r>
      <w:r>
        <w:rPr>
          <w:bCs/>
          <w:b/>
        </w:rPr>
        <w:t xml:space="preserve">rdtmnogtfs</w:t>
      </w:r>
      <w:r>
        <w:t xml:space="preserve">.</w:t>
      </w:r>
    </w:p>
    <w:p>
      <w:pPr>
        <w:numPr>
          <w:ilvl w:val="0"/>
          <w:numId w:val="1001"/>
        </w:numPr>
        <w:pStyle w:val="Compact"/>
      </w:pPr>
      <w:r>
        <w:rPr>
          <w:bCs/>
          <w:b/>
        </w:rPr>
        <w:t xml:space="preserve">Functional Unit:</w:t>
      </w:r>
      <w:r>
        <w:t xml:space="preserve"> </w:t>
      </w:r>
      <w:r>
        <w:t xml:space="preserve">The functional unit for this PCF study is 1.0 unit of</w:t>
      </w:r>
      <w:r>
        <w:t xml:space="preserve"> </w:t>
      </w:r>
      <w:r>
        <w:rPr>
          <w:bCs/>
          <w:b/>
        </w:rPr>
        <w:t xml:space="preserve">rdtmnogtfs</w:t>
      </w:r>
      <w:r>
        <w:t xml:space="preserve">.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analysis employs a "cradle-to-factory-gate" system boundary for material and production emissions, extended to "cradle-to-grave" for the full product lifecycle, encompassing raw material acquisition, manufacturing, distribution, use, and end-of-life phases.</w:t>
      </w:r>
    </w:p>
    <w:p>
      <w:pPr>
        <w:numPr>
          <w:ilvl w:val="0"/>
          <w:numId w:val="1001"/>
        </w:numPr>
        <w:pStyle w:val="Compact"/>
      </w:pPr>
      <w:r>
        <w:rPr>
          <w:bCs/>
          <w:b/>
        </w:rPr>
        <w:t xml:space="preserve">Geographic Scope:</w:t>
      </w:r>
      <w:r>
        <w:t xml:space="preserve"> </w:t>
      </w:r>
      <w:r>
        <w:t xml:space="preserve">The final production country is China, with a supply chain focus on Europe. Use phase and end-of-life emissions are considered globally or based on the primary production region\'s electricity mix for illustrative purposes if global data is unavailable.</w:t>
      </w:r>
    </w:p>
    <w:p>
      <w:pPr>
        <w:numPr>
          <w:ilvl w:val="0"/>
          <w:numId w:val="1001"/>
        </w:numPr>
        <w:pStyle w:val="Compact"/>
      </w:pPr>
      <w:r>
        <w:rPr>
          <w:bCs/>
          <w:b/>
        </w:rPr>
        <w:t xml:space="preserve">Accounting Standard:</w:t>
      </w:r>
      <w:r>
        <w:t xml:space="preserve"> </w:t>
      </w:r>
      <w:r>
        <w:t xml:space="preserve">The methodology strictly adheres to the Greenhouse Gas (GHG) Protocol Product Standard for Product Life Cycle Accounting and Reporting. All emissions are categorized into Scope 1 (direct emissions from owned or controlled sources), Scope 2 (indirect emissions from purchased electricity, steam, heat, or cooling), and Scope 3 (all other indirect emissions that occur in the value chain).</w:t>
      </w:r>
    </w:p>
    <w:p>
      <w:pPr>
        <w:numPr>
          <w:ilvl w:val="0"/>
          <w:numId w:val="1001"/>
        </w:numPr>
        <w:pStyle w:val="Compact"/>
      </w:pPr>
      <w:r>
        <w:rPr>
          <w:bCs/>
          <w:b/>
        </w:rPr>
        <w:t xml:space="preserve">Allocation:</w:t>
      </w:r>
      <w:r>
        <w:t xml:space="preserve"> </w:t>
      </w:r>
      <w:r>
        <w:t xml:space="preserve">For co-product or by-product scenarios, mass-based allocation is applied where appropriate. For a singular product PCF, direct allocation of impacts to the functional unit is utilized.</w:t>
      </w:r>
    </w:p>
    <w:p>
      <w:pPr>
        <w:numPr>
          <w:ilvl w:val="0"/>
          <w:numId w:val="1001"/>
        </w:numPr>
        <w:pStyle w:val="Compact"/>
      </w:pPr>
      <w:r>
        <w:rPr>
          <w:bCs/>
          <w:b/>
        </w:rPr>
        <w:t xml:space="preserve">2026 LSR Update:</w:t>
      </w:r>
      <w:r>
        <w:t xml:space="preserve"> </w:t>
      </w:r>
      <w:r>
        <w:t xml:space="preserve">The principles of the Land Sector and Removals (LSR) Standard are applied, acknowledging that detailed land use change and carbon removal data specific to every component of</w:t>
      </w:r>
      <w:r>
        <w:t xml:space="preserve"> </w:t>
      </w:r>
      <w:r>
        <w:rPr>
          <w:bCs/>
          <w:b/>
        </w:rPr>
        <w:t xml:space="preserve">rdtmnogtfs</w:t>
      </w:r>
      <w:r>
        <w:t xml:space="preserve">\'s supply chain would require more extensive primary data collection.</w:t>
      </w:r>
    </w:p>
    <w:p>
      <w:pPr>
        <w:numPr>
          <w:ilvl w:val="0"/>
          <w:numId w:val="1001"/>
        </w:numPr>
        <w:pStyle w:val="Compact"/>
      </w:pPr>
      <w:r>
        <w:rPr>
          <w:bCs/>
          <w:b/>
        </w:rPr>
        <w:t xml:space="preserve">Scope 3 Compliance:</w:t>
      </w:r>
      <w:r>
        <w:t xml:space="preserve"> </w:t>
      </w:r>
      <w:r>
        <w:t xml:space="preserve">Significant effort has been made to ensure comprehensive Scope 3 reporting, targeting at least 95% coverage for relevant categories, including purchased goods and services, upstream and downstream transportation and distribution, use of sold products, and end-of-life treatment of sold products.</w:t>
      </w:r>
    </w:p>
    <w:p>
      <w:r>
        <w:pict>
          <v:rect style="width:0;height:1.5pt" o:hralign="center" o:hrstd="t" o:hr="t"/>
        </w:pict>
      </w:r>
    </w:p>
    <w:bookmarkStart w:id="23" w:name="map-lifecycle-3.-collect-data"/>
    <w:p>
      <w:pPr>
        <w:pStyle w:val="Heading2"/>
      </w:pPr>
      <w:r>
        <w:t xml:space="preserve">2. Map Lifecycle &amp; 3. Collect Data</w:t>
      </w:r>
    </w:p>
    <w:bookmarkEnd w:id="23"/>
    <w:p>
      <w:pPr>
        <w:pStyle w:val="FirstParagraph"/>
      </w:pPr>
      <w:r>
        <w:t xml:space="preserve">This section details the lifecycle stages mapped and the data collected, covering material inputs, energy consumption, and logistics information. Due to placeholders for raw data in the request, illustrative values consistent with the specified format and industry averages are used to demonstrate the calculation methodology.</w:t>
      </w:r>
    </w:p>
    <w:bookmarkStart w:id="24" w:name="Xe031434453a7f92ddd1d891ee72239bfb65319a"/>
    <w:p>
      <w:pPr>
        <w:pStyle w:val="Heading3"/>
      </w:pPr>
      <w:r>
        <w:t xml:space="preserve">Detailed Bill of Materials (BOM) &amp; Material Impact</w:t>
      </w:r>
    </w:p>
    <w:p>
      <w:pPr>
        <w:pStyle w:val="FirstParagraph"/>
      </w:pPr>
      <w:r>
        <w:t xml:space="preserve">The following table presents an illustrative breakdown of the Detailed Bill of Materials (BOM) for</w:t>
      </w:r>
      <w:r>
        <w:t xml:space="preserve"> </w:t>
      </w:r>
      <w:r>
        <w:rPr>
          <w:bCs/>
          <w:b/>
        </w:rPr>
        <w:t xml:space="preserve">rdtmnogtfs</w:t>
      </w:r>
      <w:r>
        <w:t xml:space="preserve">, as per the structure of the provided placeholder (qiqhxyrq). Each item\'s total carbon impact is calculated based on its quantity and an industry-standard emission factor, contributing to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Recycled 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Wafer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4.00</w:t>
            </w:r>
          </w:p>
        </w:tc>
      </w:tr>
      <w:tr>
        <w:tc>
          <w:tcPr>
            <w:gridSpan w:val="7"/>
          </w:tcPr>
          <w:p>
            <w:pPr>
              <w:pStyle w:val="Compact"/>
              <w:jc w:val="right"/>
            </w:pPr>
            <w:r>
              <w:rPr>
                <w:bCs/>
                <w:b/>
              </w:rPr>
              <w:t xml:space="preserve">Total Raw Material Carbon (Illustrative)</w:t>
            </w:r>
          </w:p>
        </w:tc>
        <w:tc>
          <w:tcPr/>
          <w:p>
            <w:pPr>
              <w:pStyle w:val="Compact"/>
              <w:jc w:val="left"/>
            </w:pPr>
            <w:r>
              <w:rPr>
                <w:bCs/>
                <w:b/>
              </w:rPr>
              <w:t xml:space="preserve">7.40</w:t>
            </w:r>
          </w:p>
        </w:tc>
      </w:tr>
    </w:tbl>
    <w:p>
      <w:pPr>
        <w:pStyle w:val="BodyText"/>
      </w:pPr>
      <w:r>
        <w:t xml:space="preserve">The total illustrative raw material carbon footprint is 7.40 kgCO2e per unit of</w:t>
      </w:r>
      <w:r>
        <w:t xml:space="preserve"> </w:t>
      </w:r>
      <w:r>
        <w:rPr>
          <w:bCs/>
          <w:b/>
        </w:rPr>
        <w:t xml:space="preserve">rdtmnogtfs</w:t>
      </w:r>
      <w:r>
        <w:t xml:space="preserve">.</w:t>
      </w:r>
    </w:p>
    <w:bookmarkEnd w:id="24"/>
    <w:bookmarkStart w:id="25" w:name="production-phase-energy-data"/>
    <w:p>
      <w:pPr>
        <w:pStyle w:val="Heading3"/>
      </w:pPr>
      <w:r>
        <w:t xml:space="preserve">Production Phase Energy Data</w:t>
      </w:r>
    </w:p>
    <w:p>
      <w:pPr>
        <w:numPr>
          <w:ilvl w:val="0"/>
          <w:numId w:val="1002"/>
        </w:numPr>
        <w:pStyle w:val="Compact"/>
      </w:pPr>
      <w:r>
        <w:rPr>
          <w:bCs/>
          <w:b/>
        </w:rPr>
        <w:t xml:space="preserve">Renewable Energy Usage:</w:t>
      </w:r>
      <w:r>
        <w:t xml:space="preserve"> </w:t>
      </w:r>
      <w:r>
        <w:t xml:space="preserve">30%</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Electricity Emission Factor (China Grid Mix):</w:t>
      </w:r>
      <w:r>
        <w:t xml:space="preserve"> </w:t>
      </w:r>
      <w:r>
        <w:t xml:space="preserve">0.6144 kgCO2e/kWh (for non-renewable portion)</w:t>
      </w:r>
    </w:p>
    <w:bookmarkEnd w:id="25"/>
    <w:bookmarkStart w:id="26" w:name="logistics-data-scope-3---categories-4-9"/>
    <w:p>
      <w:pPr>
        <w:pStyle w:val="Heading3"/>
      </w:pPr>
      <w:r>
        <w:t xml:space="preserve">Logistics Data (Scope 3 - Categories 4 &amp; 9)</w:t>
      </w:r>
    </w:p>
    <w:p>
      <w:pPr>
        <w:pStyle w:val="FirstParagraph"/>
      </w:pPr>
      <w:r>
        <w:t xml:space="preserve">For inbound and outbound transportation, the following parameters were utilized:</w:t>
      </w:r>
    </w:p>
    <w:p>
      <w:pPr>
        <w:numPr>
          <w:ilvl w:val="0"/>
          <w:numId w:val="1003"/>
        </w:numPr>
        <w:pStyle w:val="Compact"/>
      </w:pPr>
      <w:r>
        <w:rPr>
          <w:bCs/>
          <w:b/>
        </w:rPr>
        <w:t xml:space="preserve">Total Transport Distance (Illustrative Average):</w:t>
      </w:r>
      <w:r>
        <w:t xml:space="preserve"> </w:t>
      </w:r>
      <w:r>
        <w:t xml:space="preserve">2000 km</w:t>
      </w:r>
    </w:p>
    <w:p>
      <w:pPr>
        <w:numPr>
          <w:ilvl w:val="0"/>
          <w:numId w:val="1003"/>
        </w:numPr>
        <w:pStyle w:val="Compact"/>
      </w:pPr>
      <w:r>
        <w:rPr>
          <w:bCs/>
          <w:b/>
        </w:rPr>
        <w:t xml:space="preserve">Inbound Transport Mode:</w:t>
      </w:r>
      <w:r>
        <w:t xml:space="preserve"> </w:t>
      </w:r>
      <w:r>
        <w:t xml:space="preserve">Road Freight (Heavy Duty Truck)</w:t>
      </w:r>
    </w:p>
    <w:p>
      <w:pPr>
        <w:numPr>
          <w:ilvl w:val="0"/>
          <w:numId w:val="1003"/>
        </w:numPr>
        <w:pStyle w:val="Compact"/>
      </w:pPr>
      <w:r>
        <w:rPr>
          <w:bCs/>
          <w:b/>
        </w:rPr>
        <w:t xml:space="preserve">Outbound/Last-Mile Delivery Channel:</w:t>
      </w:r>
      <w:r>
        <w:t xml:space="preserve"> </w:t>
      </w:r>
      <w:r>
        <w:t xml:space="preserve">Small Parcel Courier (Van)</w:t>
      </w:r>
    </w:p>
    <w:p>
      <w:pPr>
        <w:numPr>
          <w:ilvl w:val="0"/>
          <w:numId w:val="1003"/>
        </w:numPr>
        <w:pStyle w:val="Compact"/>
      </w:pPr>
      <w:r>
        <w:rPr>
          <w:bCs/>
          <w:b/>
        </w:rPr>
        <w:t xml:space="preserve">Illustrative Road Freight Emission Factor:</w:t>
      </w:r>
      <w:r>
        <w:t xml:space="preserve"> </w:t>
      </w:r>
      <w:r>
        <w:t xml:space="preserve">0.1 kgCO2e/tonne-km (for heavy-duty truck, Europe-focused supply chain average)</w:t>
      </w:r>
    </w:p>
    <w:p>
      <w:pPr>
        <w:numPr>
          <w:ilvl w:val="0"/>
          <w:numId w:val="1003"/>
        </w:numPr>
        <w:pStyle w:val="Compact"/>
      </w:pPr>
      <w:r>
        <w:rPr>
          <w:bCs/>
          <w:b/>
        </w:rPr>
        <w:t xml:space="preserve">Illustrative Small Parcel Courier Emission Factor:</w:t>
      </w:r>
      <w:r>
        <w:t xml:space="preserve"> </w:t>
      </w:r>
      <w:r>
        <w:t xml:space="preserve">0.2 kgCO2e/tonne-km (for last-mile delivery vans, assuming less efficient loading)</w:t>
      </w:r>
    </w:p>
    <w:p>
      <w:pPr>
        <w:numPr>
          <w:ilvl w:val="0"/>
          <w:numId w:val="1003"/>
        </w:numPr>
        <w:pStyle w:val="Compact"/>
      </w:pPr>
      <w:r>
        <w:rPr>
          <w:bCs/>
          <w:b/>
        </w:rPr>
        <w:t xml:space="preserve">Product Weight (for transport):</w:t>
      </w:r>
      <w:r>
        <w:t xml:space="preserve"> </w:t>
      </w:r>
      <w:r>
        <w:t xml:space="preserve">1.15 kg (sum of illustrative BOM items) = 0.00115 tonnes</w:t>
      </w:r>
    </w:p>
    <w:bookmarkEnd w:id="26"/>
    <w:bookmarkStart w:id="27" w:name="use-phase-data-scope-3---category-11"/>
    <w:p>
      <w:pPr>
        <w:pStyle w:val="Heading3"/>
      </w:pPr>
      <w:r>
        <w:t xml:space="preserve">Use Phase Data (Scope 3 - Category 11)</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Electricity Emission Factor (Illustrative):</w:t>
      </w:r>
      <w:r>
        <w:t xml:space="preserve"> </w:t>
      </w:r>
      <w:r>
        <w:t xml:space="preserve">0.6144 kgCO2e/kWh (assuming average grid mix for end-user, consistent with China\'s production)</w:t>
      </w:r>
    </w:p>
    <w:bookmarkEnd w:id="27"/>
    <w:bookmarkStart w:id="28" w:name="X3a665f80ed39d0ecd28f8d1a57827ce097b2377"/>
    <w:p>
      <w:pPr>
        <w:pStyle w:val="Heading3"/>
      </w:pPr>
      <w:r>
        <w:t xml:space="preserve">End-of-Life (EoL) Scenarios (Scope 3 - Category 12)</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zmivzgqfwe operates an actively managed take-back program.</w:t>
      </w:r>
    </w:p>
    <w:p>
      <w:pPr>
        <w:numPr>
          <w:ilvl w:val="0"/>
          <w:numId w:val="1005"/>
        </w:numPr>
        <w:pStyle w:val="Compact"/>
      </w:pPr>
      <w:r>
        <w:rPr>
          <w:bCs/>
          <w:b/>
        </w:rPr>
        <w:t xml:space="preserve">Illustrative Landfill Emission Factor:</w:t>
      </w:r>
      <w:r>
        <w:t xml:space="preserve"> </w:t>
      </w:r>
      <w:r>
        <w:t xml:space="preserve">0.05 kgCO2e/kg (for non-recycled waste)</w:t>
      </w:r>
    </w:p>
    <w:p>
      <w:pPr>
        <w:numPr>
          <w:ilvl w:val="0"/>
          <w:numId w:val="1005"/>
        </w:numPr>
        <w:pStyle w:val="Compact"/>
      </w:pPr>
      <w:r>
        <w:rPr>
          <w:bCs/>
          <w:b/>
        </w:rPr>
        <w:t xml:space="preserve">Illustrative Recycling Avoided Emission Factor:</w:t>
      </w:r>
      <w:r>
        <w:t xml:space="preserve"> </w:t>
      </w:r>
      <w:r>
        <w:t xml:space="preserve">-1.2 kgCO2e/kg (for mixed recyclables, reflecting the displacement of virgin material production)</w:t>
      </w:r>
    </w:p>
    <w:p>
      <w:r>
        <w:pict>
          <v:rect style="width:0;height:1.5pt" o:hralign="center" o:hrstd="t" o:hr="t"/>
        </w:pict>
      </w:r>
    </w:p>
    <w:bookmarkEnd w:id="28"/>
    <w:bookmarkStart w:id="29" w:name="calculate-emissions"/>
    <w:p>
      <w:pPr>
        <w:pStyle w:val="Heading2"/>
      </w:pPr>
      <w:r>
        <w:t xml:space="preserve">4. Calculate Emissions</w:t>
      </w:r>
    </w:p>
    <w:bookmarkEnd w:id="29"/>
    <w:p>
      <w:pPr>
        <w:pStyle w:val="FirstParagraph"/>
      </w:pPr>
      <w:r>
        <w:t xml:space="preserve">Emissions are calculated by multiplying activity data by relevant emission factors. This section categorizes emissions according to the GHG Protocol Scopes.</w:t>
      </w:r>
    </w:p>
    <w:bookmarkStart w:id="30" w:name="scope-1-direct-emissions"/>
    <w:p>
      <w:pPr>
        <w:pStyle w:val="Heading3"/>
      </w:pPr>
      <w:r>
        <w:t xml:space="preserve">Scope 1: Direct Emissions</w:t>
      </w:r>
    </w:p>
    <w:p>
      <w:pPr>
        <w:pStyle w:val="FirstParagraph"/>
      </w:pPr>
      <w:r>
        <w:t xml:space="preserve">Based on the provided parameters, direct (Scope 1) emissions from owned or controlled sources (e.g., on-site fuel combustion) are assumed to be negligible or implicitly covered by purchased electricity emission factors if self-generation from fossil fuels is not indicated. No specific data for direct combustion was provided. Therefore, Scope 1 emissions are reported as 0.00 kgCO2e for this analysis.</w:t>
      </w:r>
    </w:p>
    <w:bookmarkEnd w:id="30"/>
    <w:bookmarkStart w:id="31" w:name="scope-2-purchased-energy-emissions"/>
    <w:p>
      <w:pPr>
        <w:pStyle w:val="Heading3"/>
      </w:pPr>
      <w:r>
        <w:t xml:space="preserve">Scope 2: Purchased Energy Emissions</w:t>
      </w:r>
    </w:p>
    <w:p>
      <w:pPr>
        <w:pStyle w:val="FirstParagraph"/>
      </w:pPr>
      <w:r>
        <w:t xml:space="preserve">These emissions result from the generation of purchased electricity for the manufacturing process.</w:t>
      </w:r>
    </w:p>
    <w:p>
      <w:pPr>
        <w:numPr>
          <w:ilvl w:val="0"/>
          <w:numId w:val="1006"/>
        </w:numPr>
        <w:pStyle w:val="Compact"/>
      </w:pPr>
      <w:r>
        <w:t xml:space="preserve">Total Energy Intensity: 15 kWh/unit</w:t>
      </w:r>
    </w:p>
    <w:p>
      <w:pPr>
        <w:numPr>
          <w:ilvl w:val="0"/>
          <w:numId w:val="1006"/>
        </w:numPr>
        <w:pStyle w:val="Compact"/>
      </w:pPr>
      <w:r>
        <w:t xml:space="preserve">Renewable Energy Usage: 30%</w:t>
      </w:r>
    </w:p>
    <w:p>
      <w:pPr>
        <w:numPr>
          <w:ilvl w:val="0"/>
          <w:numId w:val="1006"/>
        </w:numPr>
        <w:pStyle w:val="Compact"/>
      </w:pPr>
      <w:r>
        <w:t xml:space="preserve">Non-renewable electricity consumption = 15 kWh/unit * (1 - 0.30) = 10.5 kWh/unit</w:t>
      </w:r>
    </w:p>
    <w:p>
      <w:pPr>
        <w:numPr>
          <w:ilvl w:val="0"/>
          <w:numId w:val="1006"/>
        </w:numPr>
        <w:pStyle w:val="Compact"/>
      </w:pPr>
      <w:r>
        <w:t xml:space="preserve">China Grid Emission Factor = 0.6144 kgCO2e/kWh</w:t>
      </w:r>
    </w:p>
    <w:p>
      <w:pPr>
        <w:numPr>
          <w:ilvl w:val="0"/>
          <w:numId w:val="1006"/>
        </w:numPr>
        <w:pStyle w:val="Compact"/>
      </w:pPr>
      <w:r>
        <w:rPr>
          <w:bCs/>
          <w:b/>
        </w:rPr>
        <w:t xml:space="preserve">Scope 2 Emissions = 10.5 kWh/unit * 0.6144 kgCO2e/kWh = 6.45 kgCO2e/unit</w:t>
      </w:r>
    </w:p>
    <w:bookmarkEnd w:id="31"/>
    <w:bookmarkStart w:id="37" w:name="scope-3-value-chain-emissions"/>
    <w:p>
      <w:pPr>
        <w:pStyle w:val="Heading3"/>
      </w:pPr>
      <w:r>
        <w:t xml:space="preserve">Scope 3: Value Chain Emissions</w:t>
      </w:r>
    </w:p>
    <w:p>
      <w:pPr>
        <w:pStyle w:val="FirstParagraph"/>
      </w:pPr>
      <w:r>
        <w:t xml:space="preserve">Scope 3 emissions cover all other indirect emissions. For this analysis, a strong emphasis is placed on covering the most significant categories to achieve high compliance (targeting 95% coverage).</w:t>
      </w:r>
    </w:p>
    <w:bookmarkStart w:id="32" w:name="X2f346c0eca144c87499536d4246c6ce82cefdf6"/>
    <w:p>
      <w:pPr>
        <w:pStyle w:val="Heading4"/>
      </w:pPr>
      <w:r>
        <w:t xml:space="preserve">A. Raw Material Acquisition &amp; Pre-processing (Category 1: Purchased Goods and Services)</w:t>
      </w:r>
    </w:p>
    <w:p>
      <w:pPr>
        <w:pStyle w:val="FirstParagraph"/>
      </w:pPr>
      <w:r>
        <w:t xml:space="preserve">Emissions from the extraction, production, and transport of raw materials and components.</w:t>
      </w:r>
    </w:p>
    <w:p>
      <w:pPr>
        <w:numPr>
          <w:ilvl w:val="0"/>
          <w:numId w:val="1007"/>
        </w:numPr>
        <w:pStyle w:val="Compact"/>
      </w:pPr>
      <w:r>
        <w:t xml:space="preserve">Total Carbon from Illustrative BOM = 7.40 kgCO2e/unit</w:t>
      </w:r>
    </w:p>
    <w:p>
      <w:pPr>
        <w:numPr>
          <w:ilvl w:val="0"/>
          <w:numId w:val="1007"/>
        </w:numPr>
        <w:pStyle w:val="Compact"/>
      </w:pPr>
      <w:r>
        <w:rPr>
          <w:bCs/>
          <w:b/>
        </w:rPr>
        <w:t xml:space="preserve">Scope 3 (Category 1) Emissions = 7.40 kgCO2e/unit</w:t>
      </w:r>
    </w:p>
    <w:bookmarkEnd w:id="32"/>
    <w:bookmarkStart w:id="33" w:name="X741f9791bb12afefe980eecc1797257da84f6ea"/>
    <w:p>
      <w:pPr>
        <w:pStyle w:val="Heading4"/>
      </w:pPr>
      <w:r>
        <w:t xml:space="preserve">B. Upstream Transportation and Distribution (Category 4)</w:t>
      </w:r>
    </w:p>
    <w:p>
      <w:pPr>
        <w:pStyle w:val="FirstParagraph"/>
      </w:pPr>
      <w:r>
        <w:t xml:space="preserve">Emissions from the transportation of raw materials and components from suppliers to the manufacturing facility (inbound logistics).</w:t>
      </w:r>
    </w:p>
    <w:p>
      <w:pPr>
        <w:numPr>
          <w:ilvl w:val="0"/>
          <w:numId w:val="1008"/>
        </w:numPr>
        <w:pStyle w:val="Compact"/>
      </w:pPr>
      <w:r>
        <w:t xml:space="preserve">Product Weight: 1.15 kg = 0.00115 tonnes</w:t>
      </w:r>
    </w:p>
    <w:p>
      <w:pPr>
        <w:numPr>
          <w:ilvl w:val="0"/>
          <w:numId w:val="1008"/>
        </w:numPr>
        <w:pStyle w:val="Compact"/>
      </w:pPr>
      <w:r>
        <w:t xml:space="preserve">Transport Distance (Illustrative): 2000 km</w:t>
      </w:r>
    </w:p>
    <w:p>
      <w:pPr>
        <w:numPr>
          <w:ilvl w:val="0"/>
          <w:numId w:val="1008"/>
        </w:numPr>
        <w:pStyle w:val="Compact"/>
      </w:pPr>
      <w:r>
        <w:t xml:space="preserve">Road Freight Emission Factor: 0.1 kgCO2e/tonne-km</w:t>
      </w:r>
    </w:p>
    <w:p>
      <w:pPr>
        <w:numPr>
          <w:ilvl w:val="0"/>
          <w:numId w:val="1008"/>
        </w:numPr>
        <w:pStyle w:val="Compact"/>
      </w:pPr>
      <w:r>
        <w:rPr>
          <w:bCs/>
          <w:b/>
        </w:rPr>
        <w:t xml:space="preserve">Scope 3 (Category 4) Emissions = 0.00115 tonnes * 2000 km * 0.1 kgCO2e/tonne-km = 0.23 kgCO2e/unit</w:t>
      </w:r>
    </w:p>
    <w:bookmarkEnd w:id="33"/>
    <w:bookmarkStart w:id="34" w:name="Xab5673854b99bf290932da600dbb5ad27c2e6ed"/>
    <w:p>
      <w:pPr>
        <w:pStyle w:val="Heading4"/>
      </w:pPr>
      <w:r>
        <w:t xml:space="preserve">C. Downstream Transportation and Distribution (Category 9)</w:t>
      </w:r>
    </w:p>
    <w:p>
      <w:pPr>
        <w:pStyle w:val="FirstParagraph"/>
      </w:pPr>
      <w:r>
        <w:t xml:space="preserve">Emissions from the transportation of finished products from the factory gate to the end-consumer, including last-mile delivery.</w:t>
      </w:r>
    </w:p>
    <w:p>
      <w:pPr>
        <w:numPr>
          <w:ilvl w:val="0"/>
          <w:numId w:val="1009"/>
        </w:numPr>
        <w:pStyle w:val="Compact"/>
      </w:pPr>
      <w:r>
        <w:t xml:space="preserve">Product Weight: 1.15 kg = 0.00115 tonnes</w:t>
      </w:r>
    </w:p>
    <w:p>
      <w:pPr>
        <w:numPr>
          <w:ilvl w:val="0"/>
          <w:numId w:val="1009"/>
        </w:numPr>
        <w:pStyle w:val="Compact"/>
      </w:pPr>
      <w:r>
        <w:t xml:space="preserve">Transport Distance (Illustrative): 2000 km</w:t>
      </w:r>
    </w:p>
    <w:p>
      <w:pPr>
        <w:numPr>
          <w:ilvl w:val="0"/>
          <w:numId w:val="1009"/>
        </w:numPr>
        <w:pStyle w:val="Compact"/>
      </w:pPr>
      <w:r>
        <w:t xml:space="preserve">Small Parcel Courier Emission Factor: 0.2 kgCO2e/tonne-km</w:t>
      </w:r>
    </w:p>
    <w:p>
      <w:pPr>
        <w:numPr>
          <w:ilvl w:val="0"/>
          <w:numId w:val="1009"/>
        </w:numPr>
        <w:pStyle w:val="Compact"/>
      </w:pPr>
      <w:r>
        <w:rPr>
          <w:bCs/>
          <w:b/>
        </w:rPr>
        <w:t xml:space="preserve">Scope 3 (Category 9) Emissions = 0.00115 tonnes * 2000 km * 0.2 kgCO2e/tonne-km = 0.46 kgCO2e/unit</w:t>
      </w:r>
    </w:p>
    <w:bookmarkEnd w:id="34"/>
    <w:bookmarkStart w:id="35" w:name="Xde8f6c5dc0e92eb5836d401f41036a8264b804c"/>
    <w:p>
      <w:pPr>
        <w:pStyle w:val="Heading4"/>
      </w:pPr>
      <w:r>
        <w:t xml:space="preserve">D. Use Phase (Category 11: Use of Sold Products)</w:t>
      </w:r>
    </w:p>
    <w:p>
      <w:pPr>
        <w:pStyle w:val="FirstParagraph"/>
      </w:pPr>
      <w:r>
        <w:t xml:space="preserve">Emissions from the energy consumption during the product\'s lifespan by the end-user.</w:t>
      </w:r>
    </w:p>
    <w:p>
      <w:pPr>
        <w:numPr>
          <w:ilvl w:val="0"/>
          <w:numId w:val="1010"/>
        </w:numPr>
        <w:pStyle w:val="Compact"/>
      </w:pPr>
      <w:r>
        <w:t xml:space="preserve">Product Lifespan: 5 years</w:t>
      </w:r>
    </w:p>
    <w:p>
      <w:pPr>
        <w:numPr>
          <w:ilvl w:val="0"/>
          <w:numId w:val="1010"/>
        </w:numPr>
        <w:pStyle w:val="Compact"/>
      </w:pPr>
      <w:r>
        <w:t xml:space="preserve">Energy Consumption in Use: 10 kWh/year</w:t>
      </w:r>
    </w:p>
    <w:p>
      <w:pPr>
        <w:numPr>
          <w:ilvl w:val="0"/>
          <w:numId w:val="1010"/>
        </w:numPr>
        <w:pStyle w:val="Compact"/>
      </w:pPr>
      <w:r>
        <w:t xml:space="preserve">Total Energy Consumption in Use = 10 kWh/year * 5 years = 50 kWh/unit</w:t>
      </w:r>
    </w:p>
    <w:p>
      <w:pPr>
        <w:numPr>
          <w:ilvl w:val="0"/>
          <w:numId w:val="1010"/>
        </w:numPr>
        <w:pStyle w:val="Compact"/>
      </w:pPr>
      <w:r>
        <w:t xml:space="preserve">Electricity Emission Factor (Illustrative): 0.6144 kgCO2e/kWh</w:t>
      </w:r>
    </w:p>
    <w:p>
      <w:pPr>
        <w:numPr>
          <w:ilvl w:val="0"/>
          <w:numId w:val="1010"/>
        </w:numPr>
        <w:pStyle w:val="Compact"/>
      </w:pPr>
      <w:r>
        <w:rPr>
          <w:bCs/>
          <w:b/>
        </w:rPr>
        <w:t xml:space="preserve">Scope 3 (Category 11) Emissions = 50 kWh/unit * 0.6144 kgCO2e/kWh = 30.72 kgCO2e/unit</w:t>
      </w:r>
    </w:p>
    <w:bookmarkEnd w:id="35"/>
    <w:bookmarkStart w:id="36" w:name="X085183eb2b1407fbf94cae89abdc4a38db2cf42"/>
    <w:p>
      <w:pPr>
        <w:pStyle w:val="Heading4"/>
      </w:pPr>
      <w:r>
        <w:t xml:space="preserve">E. End-of-Life Treatment of Sold Products (Category 12)</w:t>
      </w:r>
    </w:p>
    <w:p>
      <w:pPr>
        <w:pStyle w:val="FirstParagraph"/>
      </w:pPr>
      <w:r>
        <w:t xml:space="preserve">Emissions from the disposal and recycling of the product at the end of its life, including benefits from circular economy programs.</w:t>
      </w:r>
    </w:p>
    <w:p>
      <w:pPr>
        <w:numPr>
          <w:ilvl w:val="0"/>
          <w:numId w:val="1011"/>
        </w:numPr>
        <w:pStyle w:val="Compact"/>
      </w:pPr>
      <w:r>
        <w:t xml:space="preserve">Product Weight: 1.15 kg/unit</w:t>
      </w:r>
    </w:p>
    <w:p>
      <w:pPr>
        <w:numPr>
          <w:ilvl w:val="0"/>
          <w:numId w:val="1011"/>
        </w:numPr>
        <w:pStyle w:val="Compact"/>
      </w:pPr>
      <w:r>
        <w:t xml:space="preserve">Recyclability Percentage: 70%</w:t>
      </w:r>
    </w:p>
    <w:p>
      <w:pPr>
        <w:numPr>
          <w:ilvl w:val="0"/>
          <w:numId w:val="1011"/>
        </w:numPr>
        <w:pStyle w:val="Compact"/>
      </w:pPr>
      <w:r>
        <w:t xml:space="preserve">Portion to Landfill = 1.15 kg * (1 - 0.70) = 0.345 kg</w:t>
      </w:r>
    </w:p>
    <w:p>
      <w:pPr>
        <w:numPr>
          <w:ilvl w:val="0"/>
          <w:numId w:val="1011"/>
        </w:numPr>
        <w:pStyle w:val="Compact"/>
      </w:pPr>
      <w:r>
        <w:t xml:space="preserve">Portion Recycled = 1.15 kg * 0.70 = 0.805 kg</w:t>
      </w:r>
    </w:p>
    <w:p>
      <w:pPr>
        <w:numPr>
          <w:ilvl w:val="0"/>
          <w:numId w:val="1011"/>
        </w:numPr>
        <w:pStyle w:val="Compact"/>
      </w:pPr>
      <w:r>
        <w:t xml:space="preserve">Illustrative Landfill Emission Factor: 0.05 kgCO2e/kg</w:t>
      </w:r>
    </w:p>
    <w:p>
      <w:pPr>
        <w:numPr>
          <w:ilvl w:val="0"/>
          <w:numId w:val="1011"/>
        </w:numPr>
        <w:pStyle w:val="Compact"/>
      </w:pPr>
      <w:r>
        <w:t xml:space="preserve">Illustrative Recycling Avoided Emission Factor: -1.2 kgCO2e/kg</w:t>
      </w:r>
    </w:p>
    <w:p>
      <w:pPr>
        <w:numPr>
          <w:ilvl w:val="0"/>
          <w:numId w:val="1011"/>
        </w:numPr>
        <w:pStyle w:val="Compact"/>
      </w:pPr>
      <w:r>
        <w:t xml:space="preserve">Emissions from Landfill = 0.345 kg * 0.05 kgCO2e/kg = 0.01725 kgCO2e/unit</w:t>
      </w:r>
    </w:p>
    <w:p>
      <w:pPr>
        <w:numPr>
          <w:ilvl w:val="0"/>
          <w:numId w:val="1011"/>
        </w:numPr>
        <w:pStyle w:val="Compact"/>
      </w:pPr>
      <w:r>
        <w:t xml:space="preserve">Avoided Emissions from Recycling = 0.805 kg * -1.2 kgCO2e/kg = -0.966 kgCO2e/unit</w:t>
      </w:r>
    </w:p>
    <w:p>
      <w:pPr>
        <w:numPr>
          <w:ilvl w:val="0"/>
          <w:numId w:val="1011"/>
        </w:numPr>
        <w:pStyle w:val="Compact"/>
      </w:pPr>
      <w:r>
        <w:rPr>
          <w:bCs/>
          <w:b/>
        </w:rPr>
        <w:t xml:space="preserve">Scope 3 (Category 12) Net Emissions = 0.01725 kgCO2e/unit - 0.966 kgCO2e/unit = -0.94875 kgCO2e/unit</w:t>
      </w:r>
    </w:p>
    <w:bookmarkEnd w:id="36"/>
    <w:bookmarkEnd w:id="37"/>
    <w:bookmarkStart w:id="38" w:name="total-product-carbon-footprint-pcf"/>
    <w:p>
      <w:pPr>
        <w:pStyle w:val="Heading3"/>
      </w:pPr>
      <w:r>
        <w:t xml:space="preserve">Total Product Carbon Footprint (PCF)</w:t>
      </w:r>
    </w:p>
    <w:p>
      <w:pPr>
        <w:pStyle w:val="FirstParagraph"/>
      </w:pPr>
      <w:r>
        <w:t xml:space="preserve">The total PCF for</w:t>
      </w:r>
      <w:r>
        <w:t xml:space="preserve"> </w:t>
      </w:r>
      <w:r>
        <w:rPr>
          <w:bCs/>
          <w:b/>
        </w:rPr>
        <w:t xml:space="preserve">rdtmnogtfs</w:t>
      </w:r>
      <w:r>
        <w:t xml:space="preserve"> </w:t>
      </w:r>
      <w:r>
        <w:t xml:space="preserve">is the sum of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7.40</w:t>
            </w:r>
          </w:p>
        </w:tc>
      </w:tr>
      <w:tr>
        <w:tc>
          <w:tcPr/>
          <w:p>
            <w:pPr>
              <w:pStyle w:val="Compact"/>
              <w:jc w:val="left"/>
            </w:pPr>
            <w:r>
              <w:t xml:space="preserve">Manufacturing Energy (Electricity)</w:t>
            </w:r>
          </w:p>
        </w:tc>
        <w:tc>
          <w:tcPr/>
          <w:p>
            <w:pPr>
              <w:pStyle w:val="Compact"/>
              <w:jc w:val="left"/>
            </w:pPr>
            <w:r>
              <w:t xml:space="preserve">Scope 2</w:t>
            </w:r>
          </w:p>
        </w:tc>
        <w:tc>
          <w:tcPr/>
          <w:p>
            <w:pPr>
              <w:pStyle w:val="Compact"/>
              <w:jc w:val="left"/>
            </w:pPr>
            <w:r>
              <w:t xml:space="preserve">6.45</w:t>
            </w:r>
          </w:p>
        </w:tc>
      </w:tr>
      <w:tr>
        <w:tc>
          <w:tcPr/>
          <w:p>
            <w:pPr>
              <w:pStyle w:val="Compact"/>
              <w:jc w:val="left"/>
            </w:pPr>
            <w:r>
              <w:t xml:space="preserve">Inbound Logistics</w:t>
            </w:r>
          </w:p>
        </w:tc>
        <w:tc>
          <w:tcPr/>
          <w:p>
            <w:pPr>
              <w:pStyle w:val="Compact"/>
              <w:jc w:val="left"/>
            </w:pPr>
            <w:r>
              <w:t xml:space="preserve">Scope 3 (Category 4)</w:t>
            </w:r>
          </w:p>
        </w:tc>
        <w:tc>
          <w:tcPr/>
          <w:p>
            <w:pPr>
              <w:pStyle w:val="Compact"/>
              <w:jc w:val="left"/>
            </w:pPr>
            <w:r>
              <w:t xml:space="preserve">0.23</w:t>
            </w:r>
          </w:p>
        </w:tc>
      </w:tr>
      <w:tr>
        <w:tc>
          <w:tcPr/>
          <w:p>
            <w:pPr>
              <w:pStyle w:val="Compact"/>
              <w:jc w:val="left"/>
            </w:pPr>
            <w:r>
              <w:t xml:space="preserve">Outbound &amp; Last-Mile Logistics</w:t>
            </w:r>
          </w:p>
        </w:tc>
        <w:tc>
          <w:tcPr/>
          <w:p>
            <w:pPr>
              <w:pStyle w:val="Compact"/>
              <w:jc w:val="left"/>
            </w:pPr>
            <w:r>
              <w:t xml:space="preserve">Scope 3 (Category 9)</w:t>
            </w:r>
          </w:p>
        </w:tc>
        <w:tc>
          <w:tcPr/>
          <w:p>
            <w:pPr>
              <w:pStyle w:val="Compact"/>
              <w:jc w:val="left"/>
            </w:pPr>
            <w:r>
              <w:t xml:space="preserve">0.46</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30.72</w:t>
            </w:r>
          </w:p>
        </w:tc>
      </w:tr>
      <w:tr>
        <w:tc>
          <w:tcPr/>
          <w:p>
            <w:pPr>
              <w:pStyle w:val="Compact"/>
              <w:jc w:val="left"/>
            </w:pPr>
            <w:r>
              <w:t xml:space="preserve">End-of-Life Disposal</w:t>
            </w:r>
          </w:p>
        </w:tc>
        <w:tc>
          <w:tcPr/>
          <w:p>
            <w:pPr>
              <w:pStyle w:val="Compact"/>
              <w:jc w:val="left"/>
            </w:pPr>
            <w:r>
              <w:t xml:space="preserve">Scope 3 (Category 12)</w:t>
            </w:r>
          </w:p>
        </w:tc>
        <w:tc>
          <w:tcPr/>
          <w:p>
            <w:pPr>
              <w:pStyle w:val="Compact"/>
              <w:jc w:val="left"/>
            </w:pPr>
            <w:r>
              <w:t xml:space="preserve">0.02</w:t>
            </w:r>
          </w:p>
        </w:tc>
      </w:tr>
      <w:tr>
        <w:tc>
          <w:tcPr/>
          <w:p>
            <w:pPr>
              <w:pStyle w:val="Compact"/>
              <w:jc w:val="left"/>
            </w:pPr>
            <w:r>
              <w:t xml:space="preserve">End-of-Life Recycling Benefits</w:t>
            </w:r>
          </w:p>
        </w:tc>
        <w:tc>
          <w:tcPr/>
          <w:p>
            <w:pPr>
              <w:pStyle w:val="Compact"/>
              <w:jc w:val="left"/>
            </w:pPr>
            <w:r>
              <w:t xml:space="preserve">Scope 3 (Category 12)</w:t>
            </w:r>
          </w:p>
        </w:tc>
        <w:tc>
          <w:tcPr/>
          <w:p>
            <w:pPr>
              <w:pStyle w:val="Compact"/>
              <w:jc w:val="left"/>
            </w:pPr>
            <w:r>
              <w:t xml:space="preserve">-0.97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44.31</w:t>
            </w:r>
          </w:p>
        </w:tc>
      </w:tr>
    </w:tbl>
    <w:p>
      <w:pPr>
        <w:pStyle w:val="BodyText"/>
      </w:pPr>
      <w:r>
        <w:t xml:space="preserve">The estimated Product Carbon Footprint for</w:t>
      </w:r>
      <w:r>
        <w:t xml:space="preserve"> </w:t>
      </w:r>
      <w:r>
        <w:rPr>
          <w:bCs/>
          <w:b/>
        </w:rPr>
        <w:t xml:space="preserve">rdtmnogtfs</w:t>
      </w:r>
      <w:r>
        <w:t xml:space="preserve"> </w:t>
      </w:r>
      <w:r>
        <w:t xml:space="preserve">is approximately</w:t>
      </w:r>
      <w:r>
        <w:t xml:space="preserve"> </w:t>
      </w:r>
      <w:r>
        <w:rPr>
          <w:bCs/>
          <w:b/>
        </w:rPr>
        <w:t xml:space="preserve">44.31 kgCO2e per unit</w:t>
      </w:r>
      <w:r>
        <w:t xml:space="preserve">.</w:t>
      </w:r>
    </w:p>
    <w:p>
      <w:r>
        <w:pict>
          <v:rect style="width:0;height:1.5pt" o:hralign="center" o:hrstd="t" o:hr="t"/>
        </w:pict>
      </w:r>
    </w:p>
    <w:bookmarkEnd w:id="38"/>
    <w:bookmarkStart w:id="39" w:name="review-report"/>
    <w:p>
      <w:pPr>
        <w:pStyle w:val="Heading2"/>
      </w:pPr>
      <w:r>
        <w:t xml:space="preserve">5. Review &amp; Report</w:t>
      </w:r>
    </w:p>
    <w:bookmarkEnd w:id="39"/>
    <w:bookmarkStart w:id="40" w:name="hotspot-analysis"/>
    <w:p>
      <w:pPr>
        <w:pStyle w:val="Heading3"/>
      </w:pPr>
      <w:r>
        <w:t xml:space="preserve">Hotspot Analysis</w:t>
      </w:r>
    </w:p>
    <w:p>
      <w:pPr>
        <w:pStyle w:val="FirstParagraph"/>
      </w:pPr>
      <w:r>
        <w:t xml:space="preserve">The PCF analysis reveals the following emission hotspots for</w:t>
      </w:r>
      <w:r>
        <w:t xml:space="preserve"> </w:t>
      </w:r>
      <w:r>
        <w:rPr>
          <w:bCs/>
          <w:b/>
        </w:rPr>
        <w:t xml:space="preserve">rdtmnogtfs</w:t>
      </w:r>
      <w:r>
        <w:t xml:space="preserve">:</w:t>
      </w:r>
    </w:p>
    <w:p>
      <w:pPr>
        <w:numPr>
          <w:ilvl w:val="0"/>
          <w:numId w:val="1012"/>
        </w:numPr>
        <w:pStyle w:val="Compact"/>
      </w:pPr>
      <w:r>
        <w:rPr>
          <w:bCs/>
          <w:b/>
        </w:rPr>
        <w:t xml:space="preserve">Use Phase (30.72 kgCO2e/unit):</w:t>
      </w:r>
      <w:r>
        <w:t xml:space="preserve"> </w:t>
      </w:r>
      <w:r>
        <w:t xml:space="preserve">This stage accounts for the largest portion of the product\'s footprint, primarily due to ongoing energy consumption over its 5-year lifespan. This highlights the importance of energy efficiency during product operation.</w:t>
      </w:r>
    </w:p>
    <w:p>
      <w:pPr>
        <w:numPr>
          <w:ilvl w:val="0"/>
          <w:numId w:val="1012"/>
        </w:numPr>
        <w:pStyle w:val="Compact"/>
      </w:pPr>
      <w:r>
        <w:rPr>
          <w:bCs/>
          <w:b/>
        </w:rPr>
        <w:t xml:space="preserve">Raw Material Acquisition (7.40 kgCO2e/unit):</w:t>
      </w:r>
      <w:r>
        <w:t xml:space="preserve"> </w:t>
      </w:r>
      <w:r>
        <w:t xml:space="preserve">The embodied emissions in materials are the second most significant contributor, underscoring the impact of material selection and sourcing.</w:t>
      </w:r>
    </w:p>
    <w:p>
      <w:pPr>
        <w:numPr>
          <w:ilvl w:val="0"/>
          <w:numId w:val="1012"/>
        </w:numPr>
        <w:pStyle w:val="Compact"/>
      </w:pPr>
      <w:r>
        <w:rPr>
          <w:bCs/>
          <w:b/>
        </w:rPr>
        <w:t xml:space="preserve">Manufacturing Energy (6.45 kgCO2e/unit):</w:t>
      </w:r>
      <w:r>
        <w:t xml:space="preserve"> </w:t>
      </w:r>
      <w:r>
        <w:t xml:space="preserve">Purchased electricity for production represents a notable impact, despite 30% renewable energy usage. Further decarbonization of the energy mix or increased on-site renewables could reduce this.</w:t>
      </w:r>
    </w:p>
    <w:p>
      <w:pPr>
        <w:numPr>
          <w:ilvl w:val="0"/>
          <w:numId w:val="1012"/>
        </w:numPr>
        <w:pStyle w:val="Compact"/>
      </w:pPr>
      <w:r>
        <w:rPr>
          <w:bCs/>
          <w:b/>
        </w:rPr>
        <w:t xml:space="preserve">Logistics (0.23 kgCO2e + 0.46 kgCO2e):</w:t>
      </w:r>
      <w:r>
        <w:t xml:space="preserve"> </w:t>
      </w:r>
      <w:r>
        <w:t xml:space="preserve">While individually smaller than the use or material phases, transportation emissions are still relevant, particularly over longer distances.</w:t>
      </w:r>
    </w:p>
    <w:p>
      <w:pPr>
        <w:numPr>
          <w:ilvl w:val="0"/>
          <w:numId w:val="1012"/>
        </w:numPr>
        <w:pStyle w:val="Compact"/>
      </w:pPr>
      <w:r>
        <w:rPr>
          <w:bCs/>
          <w:b/>
        </w:rPr>
        <w:t xml:space="preserve">End-of-Life (-0.95 kgCO2e/unit):</w:t>
      </w:r>
      <w:r>
        <w:t xml:space="preserve"> </w:t>
      </w:r>
      <w:r>
        <w:t xml:space="preserve">The strong recyclability percentage and the presence of circular/take-back programs lead to significant avoided emissions, demonstrating the positive impact of circular economy principles.</w:t>
      </w:r>
    </w:p>
    <w:bookmarkEnd w:id="40"/>
    <w:bookmarkStart w:id="41" w:name="reliability-and-limitations"/>
    <w:p>
      <w:pPr>
        <w:pStyle w:val="Heading3"/>
      </w:pPr>
      <w:r>
        <w:t xml:space="preserve">Reliability and Limitations</w:t>
      </w:r>
    </w:p>
    <w:p>
      <w:pPr>
        <w:pStyle w:val="FirstParagraph"/>
      </w:pPr>
      <w:r>
        <w:t xml:space="preserve">This report provides a high-level, illustrative PCF based on the provided parameters and publicly available, industry-average emission factors (e.g., Ecoinvent/DEFRA equivalents). While adhering to the GHG Protocol, the accuracy is dependent on the granularity and representativeness of the underlying data. Actual emissions may vary if primary, site-specific data for all supply chain stages, specific transport routes and vehicle efficiencies, and precise regional electricity mixes were available. The illustrative BOM and other parameters were assumed based on the placeholder names provided. The application of the 2026 LSR Standard is qualitative due to the lack of specific land-use change data.</w:t>
      </w:r>
    </w:p>
    <w:bookmarkEnd w:id="41"/>
    <w:bookmarkStart w:id="42" w:name="recommendations-for-zmivzgqfwe"/>
    <w:p>
      <w:pPr>
        <w:pStyle w:val="Heading3"/>
      </w:pPr>
      <w:r>
        <w:t xml:space="preserve">Recommendations for zmivzgqfwe</w:t>
      </w:r>
    </w:p>
    <w:p>
      <w:pPr>
        <w:pStyle w:val="FirstParagraph"/>
      </w:pPr>
      <w:r>
        <w:t xml:space="preserve">Based on this PCF analysis,</w:t>
      </w:r>
      <w:r>
        <w:t xml:space="preserve"> </w:t>
      </w:r>
      <w:r>
        <w:rPr>
          <w:bCs/>
          <w:b/>
        </w:rPr>
        <w:t xml:space="preserve">zmivzgqfwe</w:t>
      </w:r>
      <w:r>
        <w:t xml:space="preserve"> </w:t>
      </w:r>
      <w:r>
        <w:t xml:space="preserve">should consider the following actions to reduce the environmental impact of</w:t>
      </w:r>
      <w:r>
        <w:t xml:space="preserve"> </w:t>
      </w:r>
      <w:r>
        <w:rPr>
          <w:bCs/>
          <w:b/>
        </w:rPr>
        <w:t xml:space="preserve">rdtmnogtfs</w:t>
      </w:r>
      <w:r>
        <w:t xml:space="preserve">:</w:t>
      </w:r>
    </w:p>
    <w:p>
      <w:pPr>
        <w:numPr>
          <w:ilvl w:val="0"/>
          <w:numId w:val="1013"/>
        </w:numPr>
        <w:pStyle w:val="Compact"/>
      </w:pPr>
      <w:r>
        <w:rPr>
          <w:bCs/>
          <w:b/>
        </w:rPr>
        <w:t xml:space="preserve">Enhance Use Phase Efficiency:</w:t>
      </w:r>
      <w:r>
        <w:t xml:space="preserve"> </w:t>
      </w:r>
      <w:r>
        <w:t xml:space="preserve">Focus on product design innovations to drastically reduce energy consumption during the 5-year lifespan (e.g., more efficient components, smart energy management features).</w:t>
      </w:r>
    </w:p>
    <w:p>
      <w:pPr>
        <w:numPr>
          <w:ilvl w:val="0"/>
          <w:numId w:val="1013"/>
        </w:numPr>
        <w:pStyle w:val="Compact"/>
      </w:pPr>
      <w:r>
        <w:rPr>
          <w:bCs/>
          <w:b/>
        </w:rPr>
        <w:t xml:space="preserve">Decarbonize Production Energy:</w:t>
      </w:r>
      <w:r>
        <w:t xml:space="preserve"> </w:t>
      </w:r>
      <w:r>
        <w:t xml:space="preserve">Increase the percentage of renewable energy usage beyond 30% at manufacturing facilities in China. Explore options for procuring renewable energy credits or investing in on-site renewable generation.</w:t>
      </w:r>
    </w:p>
    <w:p>
      <w:pPr>
        <w:numPr>
          <w:ilvl w:val="0"/>
          <w:numId w:val="1013"/>
        </w:numPr>
        <w:pStyle w:val="Compact"/>
      </w:pPr>
      <w:r>
        <w:rPr>
          <w:bCs/>
          <w:b/>
        </w:rPr>
        <w:t xml:space="preserve">Optimize Material Sourcing:</w:t>
      </w:r>
      <w:r>
        <w:t xml:space="preserve"> </w:t>
      </w:r>
      <w:r>
        <w:t xml:space="preserve">Investigate opportunities for using materials with lower embodied carbon, increasing recycled content beyond what\'s currently used, and collaborating with suppliers on their decarbonization efforts.</w:t>
      </w:r>
    </w:p>
    <w:p>
      <w:pPr>
        <w:numPr>
          <w:ilvl w:val="0"/>
          <w:numId w:val="1013"/>
        </w:numPr>
        <w:pStyle w:val="Compact"/>
      </w:pPr>
      <w:r>
        <w:rPr>
          <w:bCs/>
          <w:b/>
        </w:rPr>
        <w:t xml:space="preserve">Supply Chain Optimization:</w:t>
      </w:r>
      <w:r>
        <w:t xml:space="preserve"> </w:t>
      </w:r>
      <w:r>
        <w:t xml:space="preserve">Explore more efficient transportation modes (e.g., rail or sea where feasible for longer distances) and optimize logistics networks to reduce transport distances and improve load factors for both inbound and outbound freight.</w:t>
      </w:r>
    </w:p>
    <w:p>
      <w:pPr>
        <w:numPr>
          <w:ilvl w:val="0"/>
          <w:numId w:val="1013"/>
        </w:numPr>
        <w:pStyle w:val="Compact"/>
      </w:pPr>
      <w:r>
        <w:rPr>
          <w:bCs/>
          <w:b/>
        </w:rPr>
        <w:t xml:space="preserve">Strengthen Circularity:</w:t>
      </w:r>
      <w:r>
        <w:t xml:space="preserve"> </w:t>
      </w:r>
      <w:r>
        <w:t xml:space="preserve">Leverage the existing take-back programs (yofsoeotjn) to further increase the actual recycling and reuse rates (eorpwpueqf) of materials, potentially aiming for closed-loop systems. Explore design-for-disassembly to facilitate material recovery.</w:t>
      </w:r>
    </w:p>
    <w:p>
      <w:pPr>
        <w:numPr>
          <w:ilvl w:val="0"/>
          <w:numId w:val="1013"/>
        </w:numPr>
        <w:pStyle w:val="Compact"/>
      </w:pPr>
      <w:r>
        <w:rPr>
          <w:bCs/>
          <w:b/>
        </w:rPr>
        <w:t xml:space="preserve">Data Improvement:</w:t>
      </w:r>
      <w:r>
        <w:t xml:space="preserve"> </w:t>
      </w:r>
      <w:r>
        <w:t xml:space="preserve">Implement systems for collecting more specific primary data across the value chain, particularly for material and energy inputs, to refine future PCF calculations and gain more precise insights.</w:t>
      </w:r>
    </w:p>
    <w:p>
      <w:pPr>
        <w:pStyle w:val="FirstParagraph"/>
      </w:pPr>
      <w:r>
        <w:t xml:space="preserve">Confidential - Internal Use Only | Page X of Y (Page numbering to be added during print/PDF conversion)</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rdtmnogtfs</dc:title>
  <dc:creator/>
  <dc:description>High-detail Product Carbon Footprint (PCF) analysis report for rdtmnogtfs by tokpyduhop, a Senior Sustainability Consultant for zmivzgqfwe, adhering to GHG Protocol and 2026 LSR updates.</dc:description>
  <dc:language>en</dc:language>
  <cp:keywords/>
  <dcterms:created xsi:type="dcterms:W3CDTF">2026-05-30T20:10:57Z</dcterms:created>
  <dcterms:modified xsi:type="dcterms:W3CDTF">2026-05-30T20:10:57Z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