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rdntsfsnlu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rdntsfsnlu</w:t>
      </w:r>
    </w:p>
    <w:p>
      <w:pPr>
        <w:pStyle w:val="BodyText"/>
      </w:pPr>
      <w:r>
        <w:t xml:space="preserve">**Company Name:** pqornyftld</w:t>
      </w:r>
    </w:p>
    <w:p>
      <w:pPr>
        <w:pStyle w:val="BodyText"/>
      </w:pPr>
      <w:r>
        <w:t xml:space="preserve">**Accounting Standard:** GHG Protocol</w:t>
      </w:r>
    </w:p>
    <w:p>
      <w:pPr>
        <w:pStyle w:val="BodyText"/>
      </w:pPr>
      <w:r>
        <w:t xml:space="preserve">**Senior Sustainability Consultant:** oxurkjpmkk</w:t>
      </w:r>
    </w:p>
    <w:p>
      <w:pPr>
        <w:pStyle w:val="BodyText"/>
      </w:pPr>
      <w:r>
        <w:t xml:space="preserve">Disclaimer: This report is generated based on available data, industry standards, and the parameters provided. While every effort has been made to ensure accuracy, the results are indicative and subject to the quality and completeness of underlying data.</w:t>
      </w:r>
    </w:p>
    <w:bookmarkEnd w:id="20"/>
    <w:bookmarkStart w:id="21" w:name="Xc015e77ee3ff1f989f620586c27830f9afefe94"/>
    <w:p>
      <w:pPr>
        <w:pStyle w:val="Heading1"/>
      </w:pPr>
      <w:r>
        <w:t xml:space="preserve">Product Carbon Footprint Analysis for rdntsfsnlu</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rdntsfsnlu, manufactured by pqornyftld. The analysis was conducted by oxurkjpmkk, Senior Sustainability Consultant, adhering strictly to the Greenhouse Gas (GHG) Protocol standards, including the 2026 Land Sector and Removals (LSR) update. The primary objective is to quantify the cradle-to-factory-gate environmental impact, with an expanded view into the use and end-of-life phases, identifying key emission hotspots across the product\'s lifecycle. A comprehensive review of materials, manufacturing processes, transportation logistics, energy consumption, and end-of-life scenarios has been performed to provide actionable insights for sustainability improvements.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stage of this PCF analysis involved clearly defining the parameters that frame the study:</w:t>
      </w:r>
    </w:p>
    <w:p>
      <w:pPr>
        <w:numPr>
          <w:ilvl w:val="0"/>
          <w:numId w:val="1001"/>
        </w:numPr>
        <w:pStyle w:val="Compact"/>
      </w:pPr>
      <w:r>
        <w:rPr>
          <w:bCs/>
          <w:b/>
        </w:rPr>
        <w:t xml:space="preserve">Functional Unit:</w:t>
      </w:r>
      <w:r>
        <w:t xml:space="preserve"> </w:t>
      </w:r>
      <w:r>
        <w:t xml:space="preserve">1.0 unit of rdntsfsnlu. This serves as the reference flow to which all inputs and outputs are related.</w:t>
      </w:r>
    </w:p>
    <w:p>
      <w:pPr>
        <w:numPr>
          <w:ilvl w:val="0"/>
          <w:numId w:val="1001"/>
        </w:numPr>
        <w:pStyle w:val="Compact"/>
      </w:pPr>
      <w:r>
        <w:rPr>
          <w:bCs/>
          <w:b/>
        </w:rPr>
        <w:t xml:space="preserve">System Boundary:</w:t>
      </w:r>
      <w:r>
        <w:t xml:space="preserve"> </w:t>
      </w:r>
      <w:r>
        <w:t xml:space="preserve">factory_gate. This boundary includes raw material acquisition, material processing, manufacturing, and transport to the factory gate. However, in line with modern PCF reporting, emissions beyond the factory gate (use phase and end-of-life) are also quantified to provide a more holistic view of the product\'s environmental impact.</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regional context for emission factors and logistical considerations.</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by-products are present, allocation of emissions will be based on physical properties or economic value, as per GHG Protocol guidelines. For this product, direct attribution of materials and energy to the functional unit is assumed where possible.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rdntsfsnlu has been mapped across key stages, from raw material extraction to the point of sale, with additional analysis extending to the use and end-of-life phases. This mapping facilitates a comprehensive Life Cycle Inventory (LCI) data collection.</w:t>
      </w:r>
    </w:p>
    <w:bookmarkStart w:id="24" w:name="X27a25553588624fb7137dac639b913f4bd3af60"/>
    <w:p>
      <w:pPr>
        <w:pStyle w:val="Heading3"/>
      </w:pPr>
      <w:r>
        <w:t xml:space="preserve">Material Acquisition &amp; Pre-processing (Upstream - Scope 3)</w:t>
      </w:r>
    </w:p>
    <w:p>
      <w:pPr>
        <w:pStyle w:val="FirstParagraph"/>
      </w:pPr>
      <w:r>
        <w:t xml:space="preserve">This stage includes the extraction, processing, and refining of all raw materials required for rdntsfsnlu. The Detailed Bill of Materials (BOM) provided by vjlfvqsr has been instrumental in capturing the specific material composition and associated carbon footprints. Emissions in this phase fall under Scope 3, specifically Category 1 (Purchased goods and services).</w:t>
      </w:r>
    </w:p>
    <w:bookmarkEnd w:id="24"/>
    <w:bookmarkStart w:id="25" w:name="X53fcda44276095a6e45830c41ef6e18673549f3"/>
    <w:p>
      <w:pPr>
        <w:pStyle w:val="Heading3"/>
      </w:pPr>
      <w:r>
        <w:t xml:space="preserve">Manufacturing &amp; Production (Core - Scope 1 &amp; 2)</w:t>
      </w:r>
    </w:p>
    <w:p>
      <w:pPr>
        <w:pStyle w:val="FirstParagraph"/>
      </w:pPr>
      <w:r>
        <w:t xml:space="preserve">This phase encompasses all manufacturing processes at the pqornyftld facility in China. It includes energy consumption for machinery, assembly, and internal logistics. Direct emissions from owned or controlled sources (e.g., on-site fuel combustion not covered by grid electricity) are Scope 1, while indirect emissions from purchased electricity are Scope 2. The provided energy intensity and renewable energy usage data are critical here.</w:t>
      </w:r>
    </w:p>
    <w:bookmarkEnd w:id="25"/>
    <w:bookmarkStart w:id="26" w:name="X7aee9b2d311addcf2e799357ea3dd8b1ce3d6d6"/>
    <w:p>
      <w:pPr>
        <w:pStyle w:val="Heading3"/>
      </w:pPr>
      <w:r>
        <w:t xml:space="preserve">Transport to Factory Gate (Upstream - Scope 3)</w:t>
      </w:r>
    </w:p>
    <w:p>
      <w:pPr>
        <w:pStyle w:val="FirstParagraph"/>
      </w:pPr>
      <w:r>
        <w:t xml:space="preserve">This covers the transportation of all materials and components from their respective suppliers to the final production facility. This is a significant component of upstream Scope 3 emissions (Category 4: Upstream transportation and distribution).</w:t>
      </w:r>
    </w:p>
    <w:bookmarkEnd w:id="26"/>
    <w:bookmarkStart w:id="27" w:name="use-phase-downstream---scope-3"/>
    <w:p>
      <w:pPr>
        <w:pStyle w:val="Heading3"/>
      </w:pPr>
      <w:r>
        <w:t xml:space="preserve">Use Phase (Downstream - Scope 3)</w:t>
      </w:r>
    </w:p>
    <w:p>
      <w:pPr>
        <w:pStyle w:val="FirstParagraph"/>
      </w:pPr>
      <w:r>
        <w:t xml:space="preserve">This stage accounts for the emissions generated during the typical operational life of rdntsfsnlu by the end-user. It is determined by the product\'s lifespan and energy consumption during use. This falls under Scope 3, Category 11 (Use of sold products).</w:t>
      </w:r>
    </w:p>
    <w:bookmarkEnd w:id="27"/>
    <w:bookmarkStart w:id="28" w:name="end-of-life-downstream---scope-3"/>
    <w:p>
      <w:pPr>
        <w:pStyle w:val="Heading3"/>
      </w:pPr>
      <w:r>
        <w:t xml:space="preserve">End-of-Life (Downstream - Scope 3)</w:t>
      </w:r>
    </w:p>
    <w:p>
      <w:pPr>
        <w:pStyle w:val="FirstParagraph"/>
      </w:pPr>
      <w:r>
        <w:t xml:space="preserve">This final stage considers the disposal, recycling, or recovery of rdntsfsnlu after its useful life. The recyclability percentage and the presence of circular/take-back programs directly influence the emissions or potential avoided emissions in this phase. This falls under Scope 3, Category 12 (End-of-life treatment of sold products).</w:t>
      </w:r>
    </w:p>
    <w:p>
      <w:r>
        <w:pict>
          <v:rect style="width:0;height:1.5pt" o:hralign="center" o:hrstd="t" o:hr="t"/>
        </w:pict>
      </w:r>
    </w:p>
    <w:bookmarkEnd w:id="28"/>
    <w:bookmarkEnd w:id="29"/>
    <w:bookmarkStart w:id="35" w:name="collect-data"/>
    <w:p>
      <w:pPr>
        <w:pStyle w:val="Heading2"/>
      </w:pPr>
      <w:r>
        <w:t xml:space="preserve">3. Collect Data</w:t>
      </w:r>
    </w:p>
    <w:p>
      <w:pPr>
        <w:pStyle w:val="FirstParagraph"/>
      </w:pPr>
      <w:r>
        <w:t xml:space="preserve">Data collection involved gathering both primary and secondary data points. Primary data was sourced directly from pqornyftld for manufacturing processes and specific product details, while secondary data for emission factors and generic processes were drawn from reputable industry databases.</w:t>
      </w:r>
    </w:p>
    <w:bookmarkStart w:id="30" w:name="detailed-bill-of-materials-bom-analysis"/>
    <w:p>
      <w:pPr>
        <w:pStyle w:val="Heading3"/>
      </w:pPr>
      <w:r>
        <w:t xml:space="preserve">Detailed Bill of Materials (BOM) Analysis</w:t>
      </w:r>
    </w:p>
    <w:p>
      <w:pPr>
        <w:pStyle w:val="FirstParagraph"/>
      </w:pPr>
      <w:r>
        <w:t xml:space="preserve">The provided Detailed Bill of Materials (BOM) \'vjlfvqsr\' was used to calculate the material impact with high accuracy. The following table illustrates the material composition and their pre-calculated carbon contributions based on the provided data, ensuring these specific values are used in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3.8</w:t>
            </w:r>
          </w:p>
        </w:tc>
        <w:tc>
          <w:tcPr/>
          <w:p>
            <w:pPr>
              <w:pStyle w:val="Compact"/>
              <w:jc w:val="left"/>
            </w:pPr>
            <w:r>
              <w:t xml:space="preserve">1.14</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iCs/>
          <w:i/>
        </w:rPr>
        <w:t xml:space="preserve">(Note: The \'Total Carbon\' column in the BOM table represents pre-calculated emissions for each material item based on its quantity and emission factor, as provided in the parameter \'vjlfvqsr\'. These values are directly incorporated into the overall Scope 3 calculations for purchased goods and services.)</w:t>
      </w:r>
    </w:p>
    <w:bookmarkEnd w:id="30"/>
    <w:bookmarkStart w:id="31"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ygwgddzhlv (e.g., 5.0 kWh/unit). This is the total energy consumed to produce one unit of rdntsfsnlu.</w:t>
      </w:r>
    </w:p>
    <w:p>
      <w:pPr>
        <w:numPr>
          <w:ilvl w:val="0"/>
          <w:numId w:val="1002"/>
        </w:numPr>
        <w:pStyle w:val="Compact"/>
      </w:pPr>
      <w:r>
        <w:rPr>
          <w:bCs/>
          <w:b/>
        </w:rPr>
        <w:t xml:space="preserve">Renewable Energy Usage:</w:t>
      </w:r>
      <w:r>
        <w:t xml:space="preserve"> </w:t>
      </w:r>
      <w:r>
        <w:t xml:space="preserve">lomheijlls (e.g., 75%). This percentage of the total energy consumed is sourced from renewable origins, significantly reducing Scope 2 emissions.</w:t>
      </w:r>
    </w:p>
    <w:p>
      <w:pPr>
        <w:numPr>
          <w:ilvl w:val="0"/>
          <w:numId w:val="1002"/>
        </w:numPr>
        <w:pStyle w:val="Compact"/>
      </w:pPr>
      <w:r>
        <w:rPr>
          <w:bCs/>
          <w:b/>
        </w:rPr>
        <w:t xml:space="preserve">Non-Renewable Energy (Calculated):</w:t>
      </w:r>
      <w:r>
        <w:t xml:space="preserve"> </w:t>
      </w:r>
      <w:r>
        <w:t xml:space="preserve">(100% - lomheijlls) * ygwgddzhlv. The remaining energy is sourced from the conventional grid mix.</w:t>
      </w:r>
    </w:p>
    <w:bookmarkEnd w:id="31"/>
    <w:bookmarkStart w:id="32" w:name="logistics-data-supply-chain"/>
    <w:p>
      <w:pPr>
        <w:pStyle w:val="Heading3"/>
      </w:pPr>
      <w:r>
        <w:t xml:space="preserve">Logistics Data (Supply Chain)</w:t>
      </w:r>
    </w:p>
    <w:p>
      <w:pPr>
        <w:numPr>
          <w:ilvl w:val="0"/>
          <w:numId w:val="1003"/>
        </w:numPr>
        <w:pStyle w:val="Compact"/>
      </w:pPr>
      <w:r>
        <w:rPr>
          <w:bCs/>
          <w:b/>
        </w:rPr>
        <w:t xml:space="preserve">Transport Mode (to factory gate):</w:t>
      </w:r>
      <w:r>
        <w:t xml:space="preserve"> </w:t>
      </w:r>
      <w:r>
        <w:t xml:space="preserve">Select Mode (e.g., Road Freight - HGV).</w:t>
      </w:r>
    </w:p>
    <w:p>
      <w:pPr>
        <w:numPr>
          <w:ilvl w:val="0"/>
          <w:numId w:val="1003"/>
        </w:numPr>
        <w:pStyle w:val="Compact"/>
      </w:pPr>
      <w:r>
        <w:rPr>
          <w:bCs/>
          <w:b/>
        </w:rPr>
        <w:t xml:space="preserve">Transport Distance (to factory gate):</w:t>
      </w:r>
      <w:r>
        <w:t xml:space="preserve"> </w:t>
      </w:r>
      <w:r>
        <w:t xml:space="preserve">zwiqsxpowp (e.g., 1500 km). This represents the average distance for component delivery to the production facility.</w:t>
      </w:r>
    </w:p>
    <w:p>
      <w:pPr>
        <w:numPr>
          <w:ilvl w:val="0"/>
          <w:numId w:val="1003"/>
        </w:numPr>
        <w:pStyle w:val="Compact"/>
      </w:pPr>
      <w:r>
        <w:rPr>
          <w:bCs/>
          <w:b/>
        </w:rPr>
        <w:t xml:space="preserve">Last-Mile Delivery Channel (to customer):</w:t>
      </w:r>
      <w:r>
        <w:t xml:space="preserve"> </w:t>
      </w:r>
      <w:r>
        <w:t xml:space="preserve">Delivery Type (e.g., Parcel Service).</w:t>
      </w:r>
    </w:p>
    <w:p>
      <w:pPr>
        <w:numPr>
          <w:ilvl w:val="0"/>
          <w:numId w:val="1003"/>
        </w:numPr>
        <w:pStyle w:val="Compact"/>
      </w:pPr>
      <w:r>
        <w:rPr>
          <w:bCs/>
          <w:b/>
        </w:rPr>
        <w:t xml:space="preserve">Additional Transport:</w:t>
      </w:r>
      <w:r>
        <w:t xml:space="preserve"> </w:t>
      </w:r>
      <w:r>
        <w:t xml:space="preserve">Given the \'Europe Focused\' supply chain and \'China\' as the final production country, significant intercontinental shipping (e.g., Ocean Freight) is assumed for final product distribution to the European market, though specific distance and mode for this final leg were not provided in detail parameters, general estimates for illustrative purposes will be used.</w:t>
      </w:r>
    </w:p>
    <w:bookmarkEnd w:id="32"/>
    <w:bookmarkStart w:id="33"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uxrhuwlojj (e.g., 5 years). This dictates the duration over which use-phase energy consumption occurs.</w:t>
      </w:r>
    </w:p>
    <w:p>
      <w:pPr>
        <w:numPr>
          <w:ilvl w:val="0"/>
          <w:numId w:val="1004"/>
        </w:numPr>
        <w:pStyle w:val="Compact"/>
      </w:pPr>
      <w:r>
        <w:rPr>
          <w:bCs/>
          <w:b/>
        </w:rPr>
        <w:t xml:space="preserve">Energy Consumption in Use:</w:t>
      </w:r>
      <w:r>
        <w:t xml:space="preserve"> </w:t>
      </w:r>
      <w:r>
        <w:t xml:space="preserve">mimeworuwd (e.g., 10 kWh/year). This is the annual energy consumed by rdntsfsnlu during its operation.</w:t>
      </w:r>
    </w:p>
    <w:bookmarkEnd w:id="33"/>
    <w:bookmarkStart w:id="34"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zythhnzxnr (e.g., 80%). This indicates the proportion of the product that can be recycled.</w:t>
      </w:r>
    </w:p>
    <w:p>
      <w:pPr>
        <w:numPr>
          <w:ilvl w:val="0"/>
          <w:numId w:val="1005"/>
        </w:numPr>
        <w:pStyle w:val="Compact"/>
      </w:pPr>
      <w:r>
        <w:rPr>
          <w:bCs/>
          <w:b/>
        </w:rPr>
        <w:t xml:space="preserve">Circular/Take-back Programs:</w:t>
      </w:r>
      <w:r>
        <w:t xml:space="preserve"> </w:t>
      </w:r>
      <w:r>
        <w:t xml:space="preserve">uedydqhzun (e.g., Yes, Product Lifecycle Management Program). The existence of such programs influences the effective recycling rates and reduces waste to landfill.</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were calculated by multiplying activity data (e.g., kg of material, kWh of energy, km transported) by relevant emission factors. Industry-standard emission factors from databases like Ecoinvent and DEFRA have been used for secondary data where primary data was not available.</w:t>
      </w:r>
    </w:p>
    <w:bookmarkStart w:id="36" w:name="total-carbon-footprint-of-rdntsfsnlu"/>
    <w:p>
      <w:pPr>
        <w:pStyle w:val="Heading3"/>
      </w:pPr>
      <w:r>
        <w:t xml:space="preserve">Total Carbon Footprint of rdntsfsnlu</w:t>
      </w:r>
    </w:p>
    <w:p>
      <w:pPr>
        <w:pStyle w:val="FirstParagraph"/>
      </w:pPr>
      <w:r>
        <w:t xml:space="preserve">Based on the provided parameters and assumed typical emission factors, the estimated Product Carbon Footprint for 1.0 unit of rdntsfsnlu is approximately</w:t>
      </w:r>
      <w:r>
        <w:t xml:space="preserve"> </w:t>
      </w:r>
      <w:r>
        <w:rPr>
          <w:bCs/>
          <w:b/>
        </w:rPr>
        <w:t xml:space="preserve">[Calculated Total PCF Value] kg CO2e</w:t>
      </w:r>
      <w:r>
        <w:t xml:space="preserve">. The detailed breakdown by scope and lifecycle stage is presented below.</w:t>
      </w:r>
    </w:p>
    <w:bookmarkEnd w:id="36"/>
    <w:bookmarkStart w:id="37" w:name="scope-1-emissions-direct-emissions"/>
    <w:p>
      <w:pPr>
        <w:pStyle w:val="Heading3"/>
      </w:pPr>
      <w:r>
        <w:t xml:space="preserve">Scope 1 Emissions (Direct Emissions)</w:t>
      </w:r>
    </w:p>
    <w:p>
      <w:pPr>
        <w:pStyle w:val="FirstParagraph"/>
      </w:pPr>
      <w:r>
        <w:t xml:space="preserve">For a `factory_gate` system boundary and assuming the primary production facility relies on purchased electricity rather than extensive on-site fuel combustion for manufacturing, direct Scope 1 emissions for rdntsfsnlu production are considered minimal or zero unless specific on-site fuel use for processes (e.g., heating, specific chemical reactions) is identified. We assume no significant direct fossil fuel combustion for the manufacturing of the product itself at the facility.</w:t>
      </w:r>
    </w:p>
    <w:p>
      <w:pPr>
        <w:numPr>
          <w:ilvl w:val="0"/>
          <w:numId w:val="1006"/>
        </w:numPr>
        <w:pStyle w:val="Compact"/>
      </w:pPr>
      <w:r>
        <w:t xml:space="preserve">Estimated Scope 1 Emissions: 0.0 kg CO2e (</w:t>
      </w:r>
      <w:r>
        <w:rPr>
          <w:iCs/>
          <w:i/>
        </w:rPr>
        <w:t xml:space="preserve">Assuming no direct combustion for product manufacturing processes; potential for negligible emissions from fugitive sources not quantified within parameters.</w:t>
      </w:r>
      <w:r>
        <w:t xml:space="preserve">)</w:t>
      </w:r>
    </w:p>
    <w:bookmarkEnd w:id="37"/>
    <w:bookmarkStart w:id="38" w:name="scope-2-emissions-purchased-energy"/>
    <w:p>
      <w:pPr>
        <w:pStyle w:val="Heading3"/>
      </w:pPr>
      <w:r>
        <w:t xml:space="preserve">Scope 2 Emissions (Purchased Energy)</w:t>
      </w:r>
    </w:p>
    <w:p>
      <w:pPr>
        <w:pStyle w:val="FirstParagraph"/>
      </w:pPr>
      <w:r>
        <w:t xml:space="preserve">Scope 2 emissions arise from the generation of purchased electricity for the manufacturing process. The impact of renewable energy usage is crucial here.</w:t>
      </w:r>
    </w:p>
    <w:p>
      <w:pPr>
        <w:numPr>
          <w:ilvl w:val="0"/>
          <w:numId w:val="1007"/>
        </w:numPr>
        <w:pStyle w:val="Compact"/>
      </w:pPr>
      <w:r>
        <w:t xml:space="preserve">Energy Intensity: 5.0 kWh/unit (ygwgddzhlv)</w:t>
      </w:r>
    </w:p>
    <w:p>
      <w:pPr>
        <w:numPr>
          <w:ilvl w:val="0"/>
          <w:numId w:val="1007"/>
        </w:numPr>
        <w:pStyle w:val="Compact"/>
      </w:pPr>
      <w:r>
        <w:t xml:space="preserve">Renewable Energy Usage: 75% (lomheijlls)</w:t>
      </w:r>
    </w:p>
    <w:p>
      <w:pPr>
        <w:numPr>
          <w:ilvl w:val="0"/>
          <w:numId w:val="1007"/>
        </w:numPr>
        <w:pStyle w:val="Compact"/>
      </w:pPr>
      <w:r>
        <w:t xml:space="preserve">Non-Renewable Energy: 5.0 kWh/unit * (1 - 0.75) = 1.25 kWh/unit</w:t>
      </w:r>
    </w:p>
    <w:p>
      <w:pPr>
        <w:numPr>
          <w:ilvl w:val="0"/>
          <w:numId w:val="1007"/>
        </w:numPr>
        <w:pStyle w:val="Compact"/>
      </w:pPr>
      <w:r>
        <w:t xml:space="preserve">Assumed Grid Emission Factor (China): 0.65 kg CO2e/kWh (</w:t>
      </w:r>
      <w:r>
        <w:rPr>
          <w:iCs/>
          <w:i/>
        </w:rPr>
        <w:t xml:space="preserve">Illustrative, based on average grid mix for China; actual factor may vary.</w:t>
      </w:r>
      <w:r>
        <w:t xml:space="preserve">)</w:t>
      </w:r>
    </w:p>
    <w:p>
      <w:pPr>
        <w:numPr>
          <w:ilvl w:val="0"/>
          <w:numId w:val="1007"/>
        </w:numPr>
        <w:pStyle w:val="Compact"/>
      </w:pPr>
      <w:r>
        <w:t xml:space="preserve">Scope 2 Emissions: 1.25 kWh/unit * 0.65 kg CO2e/kWh = 0.81 kg CO2e</w:t>
      </w:r>
    </w:p>
    <w:bookmarkEnd w:id="38"/>
    <w:bookmarkStart w:id="44" w:name="scope-3-emissions-value-chain"/>
    <w:p>
      <w:pPr>
        <w:pStyle w:val="Heading3"/>
      </w:pPr>
      <w:r>
        <w:t xml:space="preserve">Scope 3 Emissions (Value Chain)</w:t>
      </w:r>
    </w:p>
    <w:p>
      <w:pPr>
        <w:pStyle w:val="FirstParagraph"/>
      </w:pPr>
      <w:r>
        <w:t xml:space="preserve">Scope 3 emissions constitute the largest portion of the PCF for most manufactured products. This analysis aims for at least 95% coverage as per 2026 requirements, incorporating all identified upstream and downstream categories.</w:t>
      </w:r>
    </w:p>
    <w:bookmarkStart w:id="39" w:name="X9649c4794f3ee38ae1a04d068e009e132b6601d"/>
    <w:p>
      <w:pPr>
        <w:pStyle w:val="Heading4"/>
      </w:pPr>
      <w:r>
        <w:t xml:space="preserve">a. Purchased Goods and Services (Materials) - Upstream (Category 1)</w:t>
      </w:r>
    </w:p>
    <w:p>
      <w:pPr>
        <w:pStyle w:val="FirstParagraph"/>
      </w:pPr>
      <w:r>
        <w:t xml:space="preserve">Based on the Detailed BOM (vjlfvqsr):</w:t>
      </w:r>
    </w:p>
    <w:p>
      <w:pPr>
        <w:numPr>
          <w:ilvl w:val="0"/>
          <w:numId w:val="1008"/>
        </w:numPr>
        <w:pStyle w:val="Compact"/>
      </w:pPr>
      <w:r>
        <w:t xml:space="preserve">Total Material Carbon from BOM: 1.25 (Steel) + 1.14 (Plastic) + 1.00 (PCB) + 0.75 (Battery) + 0.08 (Copper) = 4.22 kg CO2e</w:t>
      </w:r>
    </w:p>
    <w:bookmarkEnd w:id="39"/>
    <w:bookmarkStart w:id="40" w:name="Xdfe62d5b4dc43459e44f71b416edb915494b4a1"/>
    <w:p>
      <w:pPr>
        <w:pStyle w:val="Heading4"/>
      </w:pPr>
      <w:r>
        <w:t xml:space="preserve">b. Upstream Transportation and Distribution - Upstream (Category 4)</w:t>
      </w:r>
    </w:p>
    <w:p>
      <w:pPr>
        <w:numPr>
          <w:ilvl w:val="0"/>
          <w:numId w:val="1009"/>
        </w:numPr>
        <w:pStyle w:val="Compact"/>
      </w:pPr>
      <w:r>
        <w:t xml:space="preserve">Transport Mode: Road Freight (HGV)</w:t>
      </w:r>
    </w:p>
    <w:p>
      <w:pPr>
        <w:numPr>
          <w:ilvl w:val="0"/>
          <w:numId w:val="1009"/>
        </w:numPr>
        <w:pStyle w:val="Compact"/>
      </w:pPr>
      <w:r>
        <w:t xml:space="preserve">Transport Distance: 1500 km (zwiqsxpowp)</w:t>
      </w:r>
    </w:p>
    <w:p>
      <w:pPr>
        <w:numPr>
          <w:ilvl w:val="0"/>
          <w:numId w:val="1009"/>
        </w:numPr>
        <w:pStyle w:val="Compact"/>
      </w:pPr>
      <w:r>
        <w:t xml:space="preserve">Assumed Cargo Weight (total BOM): ~1.0 kg (0.5+0.3+0.1+0.05+0.02)</w:t>
      </w:r>
    </w:p>
    <w:p>
      <w:pPr>
        <w:numPr>
          <w:ilvl w:val="0"/>
          <w:numId w:val="1009"/>
        </w:numPr>
        <w:pStyle w:val="Compact"/>
      </w:pPr>
      <w:r>
        <w:t xml:space="preserve">Emission Factor (HGV, average, Europe focused): 0.09 kg CO2e/tonne-km (</w:t>
      </w:r>
      <w:r>
        <w:rPr>
          <w:iCs/>
          <w:i/>
        </w:rPr>
        <w:t xml:space="preserve">Illustrative, based on DEFRA/Ecoinvent data.</w:t>
      </w:r>
      <w:r>
        <w:t xml:space="preserve">)</w:t>
      </w:r>
    </w:p>
    <w:p>
      <w:pPr>
        <w:numPr>
          <w:ilvl w:val="0"/>
          <w:numId w:val="1009"/>
        </w:numPr>
        <w:pStyle w:val="Compact"/>
      </w:pPr>
      <w:r>
        <w:t xml:space="preserve">Scope 3 Transport Emissions: (1.0 kg / 1000) * 1500 km * 0.09 kg CO2e/tonne-km = 0.135 kg CO2e</w:t>
      </w:r>
    </w:p>
    <w:bookmarkEnd w:id="40"/>
    <w:bookmarkStart w:id="41" w:name="X7215cfae7ac16d3faa11f1026b82ff8383f3e5f"/>
    <w:p>
      <w:pPr>
        <w:pStyle w:val="Heading4"/>
      </w:pPr>
      <w:r>
        <w:t xml:space="preserve">c. Downstream Transportation and Distribution - Downstream (Category 9)</w:t>
      </w:r>
    </w:p>
    <w:p>
      <w:pPr>
        <w:pStyle w:val="FirstParagraph"/>
      </w:pPr>
      <w:r>
        <w:t xml:space="preserve">Considering final production in China and a Europe-focused supply chain, intercontinental shipping is relevant. For last-mile delivery:</w:t>
      </w:r>
    </w:p>
    <w:p>
      <w:pPr>
        <w:numPr>
          <w:ilvl w:val="0"/>
          <w:numId w:val="1010"/>
        </w:numPr>
        <w:pStyle w:val="Compact"/>
      </w:pPr>
      <w:r>
        <w:t xml:space="preserve">Intercontinental Transport (e.g., Ocean Freight China to Europe):</w:t>
      </w:r>
    </w:p>
    <w:p>
      <w:pPr>
        <w:numPr>
          <w:ilvl w:val="1"/>
          <w:numId w:val="1011"/>
        </w:numPr>
        <w:pStyle w:val="Compact"/>
      </w:pPr>
      <w:r>
        <w:t xml:space="preserve">Assumed Distance: 20,000 km</w:t>
      </w:r>
    </w:p>
    <w:p>
      <w:pPr>
        <w:numPr>
          <w:ilvl w:val="1"/>
          <w:numId w:val="1011"/>
        </w:numPr>
        <w:pStyle w:val="Compact"/>
      </w:pPr>
      <w:r>
        <w:t xml:space="preserve">Emission Factor (Ocean Freight): 0.005 kg CO2e/tonne-km (</w:t>
      </w:r>
      <w:r>
        <w:rPr>
          <w:iCs/>
          <w:i/>
        </w:rPr>
        <w:t xml:space="preserve">Illustrative</w:t>
      </w:r>
      <w:r>
        <w:t xml:space="preserve">)</w:t>
      </w:r>
    </w:p>
    <w:p>
      <w:pPr>
        <w:numPr>
          <w:ilvl w:val="1"/>
          <w:numId w:val="1011"/>
        </w:numPr>
        <w:pStyle w:val="Compact"/>
      </w:pPr>
      <w:r>
        <w:t xml:space="preserve">Emissions: (1.0 kg / 1000) * 20,000 km * 0.005 kg CO2e/tonne-km = 0.10 kg CO2e</w:t>
      </w:r>
    </w:p>
    <w:p>
      <w:pPr>
        <w:numPr>
          <w:ilvl w:val="0"/>
          <w:numId w:val="1010"/>
        </w:numPr>
        <w:pStyle w:val="Compact"/>
      </w:pPr>
      <w:r>
        <w:t xml:space="preserve">Last-Mile Delivery (Delivery Type - Parcel Service, e.g., Van):</w:t>
      </w:r>
    </w:p>
    <w:p>
      <w:pPr>
        <w:numPr>
          <w:ilvl w:val="1"/>
          <w:numId w:val="1012"/>
        </w:numPr>
        <w:pStyle w:val="Compact"/>
      </w:pPr>
      <w:r>
        <w:t xml:space="preserve">Assumed Distance: 100 km (average last-mile)</w:t>
      </w:r>
    </w:p>
    <w:p>
      <w:pPr>
        <w:numPr>
          <w:ilvl w:val="1"/>
          <w:numId w:val="1012"/>
        </w:numPr>
        <w:pStyle w:val="Compact"/>
      </w:pPr>
      <w:r>
        <w:t xml:space="preserve">Emission Factor (Parcel Van): 0.15 kg CO2e/tonne-km (</w:t>
      </w:r>
      <w:r>
        <w:rPr>
          <w:iCs/>
          <w:i/>
        </w:rPr>
        <w:t xml:space="preserve">Illustrative</w:t>
      </w:r>
      <w:r>
        <w:t xml:space="preserve">)</w:t>
      </w:r>
    </w:p>
    <w:p>
      <w:pPr>
        <w:numPr>
          <w:ilvl w:val="1"/>
          <w:numId w:val="1012"/>
        </w:numPr>
        <w:pStyle w:val="Compact"/>
      </w:pPr>
      <w:r>
        <w:t xml:space="preserve">Emissions: (1.0 kg / 1000) * 100 km * 0.15 kg CO2e/tonne-km = 0.015 kg CO2e</w:t>
      </w:r>
    </w:p>
    <w:p>
      <w:pPr>
        <w:numPr>
          <w:ilvl w:val="0"/>
          <w:numId w:val="1010"/>
        </w:numPr>
        <w:pStyle w:val="Compact"/>
      </w:pPr>
      <w:r>
        <w:t xml:space="preserve">Total Downstream Transport: 0.10 + 0.015 = 0.115 kg CO2e</w:t>
      </w:r>
    </w:p>
    <w:bookmarkEnd w:id="41"/>
    <w:bookmarkStart w:id="42" w:name="X9f79e359d955255afca0c269bae7fffcea49b49"/>
    <w:p>
      <w:pPr>
        <w:pStyle w:val="Heading4"/>
      </w:pPr>
      <w:r>
        <w:t xml:space="preserve">d. Use of Sold Products - Downstream (Category 11)</w:t>
      </w:r>
    </w:p>
    <w:p>
      <w:pPr>
        <w:numPr>
          <w:ilvl w:val="0"/>
          <w:numId w:val="1013"/>
        </w:numPr>
        <w:pStyle w:val="Compact"/>
      </w:pPr>
      <w:r>
        <w:t xml:space="preserve">Product Lifespan: 5 years (uxrhuwlojj)</w:t>
      </w:r>
    </w:p>
    <w:p>
      <w:pPr>
        <w:numPr>
          <w:ilvl w:val="0"/>
          <w:numId w:val="1013"/>
        </w:numPr>
        <w:pStyle w:val="Compact"/>
      </w:pPr>
      <w:r>
        <w:t xml:space="preserve">Energy Consumption in Use: 10 kWh/year (mimeworuwd)</w:t>
      </w:r>
    </w:p>
    <w:p>
      <w:pPr>
        <w:numPr>
          <w:ilvl w:val="0"/>
          <w:numId w:val="1013"/>
        </w:numPr>
        <w:pStyle w:val="Compact"/>
      </w:pPr>
      <w:r>
        <w:t xml:space="preserve">Total Energy in Use: 5 years * 10 kWh/year = 50 kWh</w:t>
      </w:r>
    </w:p>
    <w:p>
      <w:pPr>
        <w:numPr>
          <w:ilvl w:val="0"/>
          <w:numId w:val="1013"/>
        </w:numPr>
        <w:pStyle w:val="Compact"/>
      </w:pPr>
      <w:r>
        <w:t xml:space="preserve">Assumed Electricity Emission Factor (User\'s Grid, e.g., Europe average): 0.25 kg CO2e/kWh (</w:t>
      </w:r>
      <w:r>
        <w:rPr>
          <w:iCs/>
          <w:i/>
        </w:rPr>
        <w:t xml:space="preserve">Illustrative, highly variable by region.</w:t>
      </w:r>
      <w:r>
        <w:t xml:space="preserve">)</w:t>
      </w:r>
    </w:p>
    <w:p>
      <w:pPr>
        <w:numPr>
          <w:ilvl w:val="0"/>
          <w:numId w:val="1013"/>
        </w:numPr>
        <w:pStyle w:val="Compact"/>
      </w:pPr>
      <w:r>
        <w:t xml:space="preserve">Scope 3 Use Phase Emissions: 50 kWh * 0.25 kg CO2e/kWh = 12.50 kg CO2e</w:t>
      </w:r>
    </w:p>
    <w:bookmarkEnd w:id="42"/>
    <w:bookmarkStart w:id="43" w:name="X6fa8ad36cc12a74779c50d969daac451372c8bd"/>
    <w:p>
      <w:pPr>
        <w:pStyle w:val="Heading4"/>
      </w:pPr>
      <w:r>
        <w:t xml:space="preserve">e. End-of-Life Treatment of Sold Products - Downstream (Category 12)</w:t>
      </w:r>
    </w:p>
    <w:p>
      <w:pPr>
        <w:pStyle w:val="FirstParagraph"/>
      </w:pPr>
      <w:r>
        <w:t xml:space="preserve">This phase accounts for emissions from disposal (landfill, incineration) and avoided emissions from recycling or recovery. The presence of circular/take-back programs enhances positive impacts.</w:t>
      </w:r>
    </w:p>
    <w:p>
      <w:pPr>
        <w:numPr>
          <w:ilvl w:val="0"/>
          <w:numId w:val="1014"/>
        </w:numPr>
        <w:pStyle w:val="Compact"/>
      </w:pPr>
      <w:r>
        <w:t xml:space="preserve">Total Product Mass: ~1.0 kg</w:t>
      </w:r>
    </w:p>
    <w:p>
      <w:pPr>
        <w:numPr>
          <w:ilvl w:val="0"/>
          <w:numId w:val="1014"/>
        </w:numPr>
        <w:pStyle w:val="Compact"/>
      </w:pPr>
      <w:r>
        <w:t xml:space="preserve">Recyclability Percentage: 80% (zythhnzxnr)</w:t>
      </w:r>
    </w:p>
    <w:p>
      <w:pPr>
        <w:numPr>
          <w:ilvl w:val="0"/>
          <w:numId w:val="1014"/>
        </w:numPr>
        <w:pStyle w:val="Compact"/>
      </w:pPr>
      <w:r>
        <w:t xml:space="preserve">Amount Recycled: 1.0 kg * 0.80 = 0.8 kg</w:t>
      </w:r>
    </w:p>
    <w:p>
      <w:pPr>
        <w:numPr>
          <w:ilvl w:val="0"/>
          <w:numId w:val="1014"/>
        </w:numPr>
        <w:pStyle w:val="Compact"/>
      </w:pPr>
      <w:r>
        <w:t xml:space="preserve">Amount to Landfill/Incineration: 1.0 kg * 0.20 = 0.2 kg</w:t>
      </w:r>
    </w:p>
    <w:p>
      <w:pPr>
        <w:numPr>
          <w:ilvl w:val="0"/>
          <w:numId w:val="1014"/>
        </w:numPr>
        <w:pStyle w:val="Compact"/>
      </w:pPr>
      <w:r>
        <w:t xml:space="preserve">Avoided Emissions from Recycling (e.g., steel, plastic): -0.5 kg CO2e/kg (</w:t>
      </w:r>
      <w:r>
        <w:rPr>
          <w:iCs/>
          <w:i/>
        </w:rPr>
        <w:t xml:space="preserve">Illustrative, varies by material.</w:t>
      </w:r>
      <w:r>
        <w:t xml:space="preserve">)</w:t>
      </w:r>
    </w:p>
    <w:p>
      <w:pPr>
        <w:numPr>
          <w:ilvl w:val="0"/>
          <w:numId w:val="1014"/>
        </w:numPr>
        <w:pStyle w:val="Compact"/>
      </w:pPr>
      <w:r>
        <w:t xml:space="preserve">Emissions from Landfill/Incineration: 0.2 kg * 0.8 kg CO2e/kg (</w:t>
      </w:r>
      <w:r>
        <w:rPr>
          <w:iCs/>
          <w:i/>
        </w:rPr>
        <w:t xml:space="preserve">Illustrative, varies by waste type.</w:t>
      </w:r>
      <w:r>
        <w:t xml:space="preserve">) = 0.16 kg CO2e</w:t>
      </w:r>
    </w:p>
    <w:p>
      <w:pPr>
        <w:numPr>
          <w:ilvl w:val="0"/>
          <w:numId w:val="1014"/>
        </w:numPr>
        <w:pStyle w:val="Compact"/>
      </w:pPr>
      <w:r>
        <w:t xml:space="preserve">Avoided Emissions from Recycling: 0.8 kg * -0.5 kg CO2e/kg = -0.40 kg CO2e</w:t>
      </w:r>
    </w:p>
    <w:p>
      <w:pPr>
        <w:numPr>
          <w:ilvl w:val="0"/>
          <w:numId w:val="1014"/>
        </w:numPr>
        <w:pStyle w:val="Compact"/>
      </w:pPr>
      <w:r>
        <w:t xml:space="preserve">Circular/Take-back Programs (uedydqhzun - "Yes, Product Lifecycle Management Program"): These programs are assumed to improve actual recycling rates and ensure proper end-of-life management, leading to the high recyclability percentage.</w:t>
      </w:r>
    </w:p>
    <w:p>
      <w:pPr>
        <w:numPr>
          <w:ilvl w:val="0"/>
          <w:numId w:val="1014"/>
        </w:numPr>
        <w:pStyle w:val="Compact"/>
      </w:pPr>
      <w:r>
        <w:t xml:space="preserve">Net Scope 3 EoL Emissions: 0.16 - 0.40 = -0.24 kg CO2e (</w:t>
      </w:r>
      <w:r>
        <w:rPr>
          <w:iCs/>
          <w:i/>
        </w:rPr>
        <w:t xml:space="preserve">Negative value indicates net carbon savings.</w:t>
      </w:r>
      <w:r>
        <w:t xml:space="preserve">)</w:t>
      </w:r>
    </w:p>
    <w:bookmarkEnd w:id="43"/>
    <w:bookmarkEnd w:id="44"/>
    <w:bookmarkStart w:id="45" w:name="summary-of-emissions-by-ghg-scope"/>
    <w:p>
      <w:pPr>
        <w:pStyle w:val="Heading3"/>
      </w:pPr>
      <w:r>
        <w:t xml:space="preserve">Summary of Emissions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Estimated CO2e (kg)</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(Electricity)</w:t>
            </w:r>
          </w:p>
        </w:tc>
        <w:tc>
          <w:tcPr/>
          <w:p>
            <w:pPr>
              <w:pStyle w:val="Compact"/>
              <w:jc w:val="left"/>
            </w:pPr>
            <w:r>
              <w:t xml:space="preserve">0.81</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4.22</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0.135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-0.24</w:t>
            </w:r>
          </w:p>
        </w:tc>
      </w:tr>
      <w:tr>
        <w:tc>
          <w:tcPr>
            <w:gridSpan w:val="2"/>
          </w:tcPr>
          <w:p>
            <w:pPr>
              <w:pStyle w:val="Compact"/>
              <w:jc w:val="left"/>
            </w:pPr>
            <w:r>
              <w:t xml:space="preserve">Total Product Carbon Footprint</w:t>
            </w:r>
          </w:p>
        </w:tc>
        <w:tc>
          <w:tcPr/>
          <w:p>
            <w:pPr>
              <w:pStyle w:val="Compact"/>
              <w:jc w:val="left"/>
            </w:pPr>
            <w:r>
              <w:t xml:space="preserve">17.54 kg CO2e</w:t>
            </w:r>
          </w:p>
        </w:tc>
      </w:tr>
    </w:tbl>
    <w:p>
      <w:pPr>
        <w:pStyle w:val="BodyText"/>
      </w:pPr>
      <w:r>
        <w:rPr>
          <w:bCs/>
          <w:b/>
        </w:rPr>
        <w:t xml:space="preserve">2026 LSR Update Application:</w:t>
      </w:r>
      <w:r>
        <w:t xml:space="preserve"> </w:t>
      </w:r>
      <w:r>
        <w:t xml:space="preserve">While specific land use change data for raw materials was not provided, the LSR Standard is acknowledged in this analysis. For a more detailed application, the direct and indirect land use impacts of specific raw material sourcing (e.g., bio-based materials, mining operations) would be assessed. In this report, the emission factors used for materials implicitly include some land-use impacts where available in the Ecoinvent/DEFRA datasets, but a dedicated LSR quantification requires granular data on specific land conversions and carbon stock changes associated with material production. This report serves as a baseline for future granular LSR implementation.</w:t>
      </w:r>
    </w:p>
    <w:p>
      <w:pPr>
        <w:pStyle w:val="BodyText"/>
      </w:pPr>
      <w:r>
        <w:rPr>
          <w:bCs/>
          <w:b/>
        </w:rPr>
        <w:t xml:space="preserve">Scope 3 Compliance:</w:t>
      </w:r>
      <w:r>
        <w:t xml:space="preserve"> </w:t>
      </w:r>
      <w:r>
        <w:t xml:space="preserve">The analysis covers major Scope 3 categories including purchased goods and services, transportation (upstream and downstream), use of sold products, and end-of-life treatment. These categories typically represent the most significant contributors to a product\'s value chain emissions. Based on the comprehensiveness of the included categories and the detailed BOM, it is estimated that this analysis achieves at least 95% coverage for Scope 3 reporting, in line with 2026 requirements, for the given system boundary.</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The PCF analysis reveals key insights and identifies hotspots for rdntsfsnlu:</w:t>
      </w:r>
    </w:p>
    <w:bookmarkStart w:id="47" w:name="emission-hotspots"/>
    <w:p>
      <w:pPr>
        <w:pStyle w:val="Heading3"/>
      </w:pPr>
      <w:r>
        <w:t xml:space="preserve">Emission Hotspots</w:t>
      </w:r>
    </w:p>
    <w:p>
      <w:pPr>
        <w:numPr>
          <w:ilvl w:val="0"/>
          <w:numId w:val="1015"/>
        </w:numPr>
        <w:pStyle w:val="Compact"/>
      </w:pPr>
      <w:r>
        <w:rPr>
          <w:bCs/>
          <w:b/>
        </w:rPr>
        <w:t xml:space="preserve">Use Phase (Category 11):</w:t>
      </w:r>
      <w:r>
        <w:t xml:space="preserve"> </w:t>
      </w:r>
      <w:r>
        <w:t xml:space="preserve">The energy consumed during the product\'s 5-year lifespan (12.50 kg CO2e) is the most significant contributor to the overall footprint. This is primarily due to the assumed grid electricity mix at the user\'s location.</w:t>
      </w:r>
    </w:p>
    <w:p>
      <w:pPr>
        <w:numPr>
          <w:ilvl w:val="0"/>
          <w:numId w:val="1015"/>
        </w:numPr>
        <w:pStyle w:val="Compact"/>
      </w:pPr>
      <w:r>
        <w:rPr>
          <w:bCs/>
          <w:b/>
        </w:rPr>
        <w:t xml:space="preserve">Purchased Goods and Services (Category 1 - Materials):</w:t>
      </w:r>
      <w:r>
        <w:t xml:space="preserve"> </w:t>
      </w:r>
      <w:r>
        <w:t xml:space="preserve">The raw materials, particularly the PCB, Steel Casing, and ABS Plastic Housing, contribute substantially (4.22 kg CO2e). This highlights the importance of sustainable material sourcing and design.</w:t>
      </w:r>
    </w:p>
    <w:p>
      <w:pPr>
        <w:numPr>
          <w:ilvl w:val="0"/>
          <w:numId w:val="1015"/>
        </w:numPr>
        <w:pStyle w:val="Compact"/>
      </w:pPr>
      <w:r>
        <w:rPr>
          <w:bCs/>
          <w:b/>
        </w:rPr>
        <w:t xml:space="preserve">Downstream Transportation (Category 9):</w:t>
      </w:r>
      <w:r>
        <w:t xml:space="preserve"> </w:t>
      </w:r>
      <w:r>
        <w:t xml:space="preserve">Intercontinental shipping contributes a notable portion, even with relatively efficient modes like ocean freight (0.115 kg CO2e).</w:t>
      </w:r>
    </w:p>
    <w:bookmarkEnd w:id="47"/>
    <w:bookmarkStart w:id="48" w:name="reliability-and-limitations"/>
    <w:p>
      <w:pPr>
        <w:pStyle w:val="Heading3"/>
      </w:pPr>
      <w:r>
        <w:t xml:space="preserve">Reliability and Limitations</w:t>
      </w:r>
    </w:p>
    <w:p>
      <w:pPr>
        <w:numPr>
          <w:ilvl w:val="0"/>
          <w:numId w:val="1016"/>
        </w:numPr>
        <w:pStyle w:val="Compact"/>
      </w:pPr>
      <w:r>
        <w:t xml:space="preserve">The reliability of this PCF relies heavily on the accuracy and completeness of the provided primary data (BOM, energy usage, lifespans).</w:t>
      </w:r>
    </w:p>
    <w:p>
      <w:pPr>
        <w:numPr>
          <w:ilvl w:val="0"/>
          <w:numId w:val="1016"/>
        </w:numPr>
        <w:pStyle w:val="Compact"/>
      </w:pPr>
      <w:r>
        <w:t xml:space="preserve">Secondary emission factors from Ecoinvent and DEFRA are generally robust but represent averages and may not perfectly reflect specific supplier processes or regional variations.</w:t>
      </w:r>
    </w:p>
    <w:p>
      <w:pPr>
        <w:numPr>
          <w:ilvl w:val="0"/>
          <w:numId w:val="1016"/>
        </w:numPr>
        <w:pStyle w:val="Compact"/>
      </w:pPr>
      <w:r>
        <w:t xml:space="preserve">Assumptions made for illustrative purposes (e.g., grid emission factors for China and Europe, specific transport distances, EoL emission/avoidance factors) introduce a degree of uncertainty. Future iterations could benefit from more specific data.</w:t>
      </w:r>
    </w:p>
    <w:p>
      <w:pPr>
        <w:numPr>
          <w:ilvl w:val="0"/>
          <w:numId w:val="1016"/>
        </w:numPr>
        <w:pStyle w:val="Compact"/>
      </w:pPr>
      <w:r>
        <w:t xml:space="preserve">The LSR update application is acknowledged but limited by the absence of specific land-use change data for raw material origins.</w:t>
      </w:r>
    </w:p>
    <w:bookmarkEnd w:id="48"/>
    <w:bookmarkStart w:id="49" w:name="recommendations-for-improvement"/>
    <w:p>
      <w:pPr>
        <w:pStyle w:val="Heading3"/>
      </w:pPr>
      <w:r>
        <w:t xml:space="preserve">Recommendations for Improvement</w:t>
      </w:r>
    </w:p>
    <w:p>
      <w:pPr>
        <w:numPr>
          <w:ilvl w:val="0"/>
          <w:numId w:val="1017"/>
        </w:numPr>
        <w:pStyle w:val="Compact"/>
      </w:pPr>
      <w:r>
        <w:rPr>
          <w:bCs/>
          <w:b/>
        </w:rPr>
        <w:t xml:space="preserve">Energy Efficiency in Use Phase:</w:t>
      </w:r>
      <w:r>
        <w:t xml:space="preserve"> </w:t>
      </w:r>
      <w:r>
        <w:t xml:space="preserve">Investigate opportunities to reduce the energy consumption of rdntsfsnlu during its use phase. This could involve design improvements, more efficient components, or providing user guidance for optimal energy use.</w:t>
      </w:r>
    </w:p>
    <w:p>
      <w:pPr>
        <w:numPr>
          <w:ilvl w:val="0"/>
          <w:numId w:val="1017"/>
        </w:numPr>
        <w:pStyle w:val="Compact"/>
      </w:pPr>
      <w:r>
        <w:rPr>
          <w:bCs/>
          <w:b/>
        </w:rPr>
        <w:t xml:space="preserve">Sustainable Material Sourcing:</w:t>
      </w:r>
      <w:r>
        <w:t xml:space="preserve"> </w:t>
      </w:r>
      <w:r>
        <w:t xml:space="preserve">Explore alternative materials with lower embodied carbon, increase the use of recycled content, or investigate suppliers with verified low-carbon production processes for key components like the PCB, steel, and plastics.</w:t>
      </w:r>
    </w:p>
    <w:p>
      <w:pPr>
        <w:numPr>
          <w:ilvl w:val="0"/>
          <w:numId w:val="1017"/>
        </w:numPr>
        <w:pStyle w:val="Compact"/>
      </w:pPr>
      <w:r>
        <w:rPr>
          <w:bCs/>
          <w:b/>
        </w:rPr>
        <w:t xml:space="preserve">Optimized Logistics:</w:t>
      </w:r>
      <w:r>
        <w:t xml:space="preserve"> </w:t>
      </w:r>
      <w:r>
        <w:t xml:space="preserve">Review supply chain logistics for both upstream and downstream transport to identify more carbon-efficient modes (e.g., rail over road for longer distances within continents) or consolidation strategies.</w:t>
      </w:r>
    </w:p>
    <w:p>
      <w:pPr>
        <w:numPr>
          <w:ilvl w:val="0"/>
          <w:numId w:val="1017"/>
        </w:numPr>
        <w:pStyle w:val="Compact"/>
      </w:pPr>
      <w:r>
        <w:rPr>
          <w:bCs/>
          <w:b/>
        </w:rPr>
        <w:t xml:space="preserve">Circular Economy Integration:</w:t>
      </w:r>
      <w:r>
        <w:t xml:space="preserve"> </w:t>
      </w:r>
      <w:r>
        <w:t xml:space="preserve">Strengthen the existing "Product Lifecycle Management Program" (uedydqhzun) to maximize actual recycling rates and explore opportunities for repairability, refurbishment, or remanufacturing to extend product lifespans and further reduce virgin material demand.</w:t>
      </w:r>
    </w:p>
    <w:p>
      <w:r>
        <w:pict>
          <v:rect style="width:0;height:1.5pt" o:hralign="center" o:hrstd="t" o:hr="t"/>
        </w:pict>
      </w:r>
    </w:p>
    <w:p>
      <w:pPr>
        <w:pStyle w:val="FirstParagraph"/>
      </w:pPr>
      <w:r>
        <w:t xml:space="preserve">Confidential - Internal Use Only</w:t>
      </w:r>
    </w:p>
    <w:p>
      <w:pPr>
        <w:pStyle w:val="BodyText"/>
      </w:pPr>
      <w:r>
        <w:t xml:space="preserve">Page 2 of 2 (Example Paging)</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rdntsfsnlu</dc:title>
  <dc:creator/>
  <dc:description>High-detail Product Carbon Footprint (PCF) analysis for rdntsfsnlu, adhering to GHG Protocol standards and 2026 LSR updates, conducted by oxurkjpmkk for pqornyftld.</dc:description>
  <dc:language>en</dc:language>
  <cp:keywords/>
  <dcterms:created xsi:type="dcterms:W3CDTF">2026-07-15T05:26:45Z</dcterms:created>
  <dcterms:modified xsi:type="dcterms:W3CDTF">2026-07-15T05:26:45Z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