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rdlixiznqs</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w:t>
      </w:r>
    </w:p>
    <w:p>
      <w:pPr>
        <w:pStyle w:val="BodyText"/>
      </w:pPr>
      <w:r>
        <w:t xml:space="preserve">rdlixiznqs</w:t>
      </w:r>
    </w:p>
    <w:p>
      <w:pPr>
        <w:pStyle w:val="BodyText"/>
      </w:pPr>
      <w:r>
        <w:t xml:space="preserve">Company Name: uwmoekfzfz</w:t>
      </w:r>
    </w:p>
    <w:p>
      <w:pPr>
        <w:pStyle w:val="BodyText"/>
      </w:pPr>
      <w:r>
        <w:t xml:space="preserve">Senior Sustainability Consultant: sgihfhpdnx</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specific conditions and evolving data may lead to variations in actual impacts.</w:t>
      </w:r>
    </w:p>
    <w:bookmarkEnd w:id="20"/>
    <w:bookmarkStart w:id="21" w:name="X1a713603d28a6ec132dc8b0f85417fbfd5e0b7e"/>
    <w:p>
      <w:pPr>
        <w:pStyle w:val="Heading1"/>
      </w:pPr>
      <w:r>
        <w:t xml:space="preserve">Product Carbon Footprint Analysis: rdlixiznqs</w:t>
      </w:r>
    </w:p>
    <w:p>
      <w:pPr>
        <w:pStyle w:val="FirstParagraph"/>
      </w:pPr>
      <w:r>
        <w:t xml:space="preserve">Generated Date: May 23, 2026</w:t>
      </w:r>
    </w:p>
    <w:p>
      <w:pPr>
        <w:pStyle w:val="BodyText"/>
      </w:pPr>
      <w:r>
        <w:t xml:space="preserve">Senior Sustainability Consultant: sgihfhpdnx</w:t>
      </w:r>
    </w:p>
    <w:p>
      <w:pPr>
        <w:pStyle w:val="BodyText"/>
      </w:pPr>
      <w:r>
        <w:t xml:space="preserve">Company: uwmoekfzfz</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"rdlixiznqs" manufactured by uwmoekfzfz. Conducted by Senior Sustainability Consultant sgihfhpdnx, this analysis adheres to the GHG Protocol, incorporating the 2026 Land Sector and Removals (LSR) Standard guidelines and aiming for at least 95% Scope 3 coverage. The PCF quantifies the total greenhouse gas emissions associated with the product\'s lifecycle, from material acquisition to end-of-life, providing critical insights into its environmental impact. The total carbon footprint for one functional unit of rdlixiznqs is calculated to be</w:t>
      </w:r>
      <w:r>
        <w:t xml:space="preserve"> </w:t>
      </w:r>
      <w:r>
        <w:rPr>
          <w:bCs/>
          <w:b/>
        </w:rPr>
        <w:t xml:space="preserve">36.79 kg CO2e</w:t>
      </w:r>
      <w:r>
        <w:t xml:space="preserve">.</w:t>
      </w:r>
    </w:p>
    <w:p>
      <w:r>
        <w:pict>
          <v:rect style="width:0;height:1.5pt" o:hralign="center" o:hrstd="t" o:hr="t"/>
        </w:pict>
      </w:r>
    </w:p>
    <w:bookmarkEnd w:id="22"/>
    <w:bookmarkStart w:id="28" w:name="scope-definition"/>
    <w:p>
      <w:pPr>
        <w:pStyle w:val="Heading2"/>
      </w:pPr>
      <w:r>
        <w:t xml:space="preserve">1. Scope Definition</w:t>
      </w:r>
    </w:p>
    <w:p>
      <w:pPr>
        <w:pStyle w:val="FirstParagraph"/>
      </w:pPr>
      <w:r>
        <w:t xml:space="preserve">The initial phase of this Product Carbon Footprint (PCF) analysis involved clearly defining the scope in accordance with the GHG Protocol.</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rdlixiznqs</w:t>
      </w:r>
      <w:r>
        <w:t xml:space="preserve">, serving as the basis for all emission calculations and comparisons.</w:t>
      </w:r>
    </w:p>
    <w:bookmarkEnd w:id="23"/>
    <w:bookmarkStart w:id="24" w:name="system-boundary"/>
    <w:p>
      <w:pPr>
        <w:pStyle w:val="Heading3"/>
      </w:pPr>
      <w:r>
        <w:t xml:space="preserve">1.2 System Boundary</w:t>
      </w:r>
    </w:p>
    <w:p>
      <w:pPr>
        <w:pStyle w:val="FirstParagraph"/>
      </w:pPr>
      <w:r>
        <w:t xml:space="preserve">The system boundary adopted is</w:t>
      </w:r>
      <w:r>
        <w:t xml:space="preserve"> </w:t>
      </w:r>
      <w:r>
        <w:rPr>
          <w:bCs/>
          <w:b/>
        </w:rPr>
        <w:t xml:space="preserve">"factory_gate"</w:t>
      </w:r>
      <w:r>
        <w:t xml:space="preserve">, encompassing all processes from raw material extraction and processing (cradle) up to the point where the finished product leaves the manufacturing facility\'s gate. Additionally, downstream emissions, including transportation to the customer, the product\'s use phase, and end-of-life treatment, are included to provide a comprehensive "cradle-to-grave" assessment.</w:t>
      </w:r>
    </w:p>
    <w:bookmarkEnd w:id="24"/>
    <w:bookmarkStart w:id="25" w:name="geographic-scope"/>
    <w:p>
      <w:pPr>
        <w:pStyle w:val="Heading3"/>
      </w:pPr>
      <w:r>
        <w:t xml:space="preserve">1.3 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downstream activities. This dual focus allows for specific regional emission factors for manufacturing and a representative context for product distribution and use.</w:t>
      </w:r>
    </w:p>
    <w:bookmarkEnd w:id="25"/>
    <w:bookmarkStart w:id="26"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the most widely used international accounting tool for quantifying greenhouse gas emissions.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1.5 Allocation</w:t>
      </w:r>
    </w:p>
    <w:p>
      <w:pPr>
        <w:pStyle w:val="FirstParagraph"/>
      </w:pPr>
      <w:r>
        <w:t xml:space="preserve">Allocation of emissions for co-products or recycled materials follows the GHG Protocol\'s recommendations, primarily using a mass-based approach where appropriate. For recycled content, a "closed-loop" approach is implicitly applied for end-of-life credits.</w:t>
      </w:r>
    </w:p>
    <w:p>
      <w:r>
        <w:pict>
          <v:rect style="width:0;height:1.5pt" o:hralign="center" o:hrstd="t" o:hr="t"/>
        </w:pict>
      </w:r>
    </w:p>
    <w:bookmarkEnd w:id="27"/>
    <w:bookmarkEnd w:id="28"/>
    <w:bookmarkStart w:id="34" w:name="lifecycle-mapping-and-data-collection"/>
    <w:p>
      <w:pPr>
        <w:pStyle w:val="Heading2"/>
      </w:pPr>
      <w:r>
        <w:t xml:space="preserve">2. &amp; 3. Lifecycle Mapping and Data Collection</w:t>
      </w:r>
    </w:p>
    <w:p>
      <w:pPr>
        <w:pStyle w:val="FirstParagraph"/>
      </w:pPr>
      <w:r>
        <w:t xml:space="preserve">This section details the product\'s lifecycle stages and the primary and secondary data collected for emission quantification.</w:t>
      </w:r>
    </w:p>
    <w:bookmarkStart w:id="29" w:name="Xadb11a22a7b7ea234c4bfe07d42e6e942e59b73"/>
    <w:p>
      <w:pPr>
        <w:pStyle w:val="Heading3"/>
      </w:pPr>
      <w:r>
        <w:t xml:space="preserve">2.1 Detailed Bill of Materials (BOM) for rdlixiznqs</w:t>
      </w:r>
    </w:p>
    <w:p>
      <w:pPr>
        <w:pStyle w:val="FirstParagraph"/>
      </w:pPr>
      <w:r>
        <w:t xml:space="preserve">The material composition of rdlixiznqs is crucial for accurately assessing its upstream footprint. The following Bill of Materials (BOM) was provided and used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t xml:space="preserve">The total weight of one unit of rdlixiznqs is</w:t>
      </w:r>
      <w:r>
        <w:t xml:space="preserve"> </w:t>
      </w:r>
      <w:r>
        <w:rPr>
          <w:bCs/>
          <w:b/>
        </w:rPr>
        <w:t xml:space="preserve">1.15 kg</w:t>
      </w:r>
      <w:r>
        <w:t xml:space="preserve">. The total material emissions directly summed from the \'Total Carbon\' column of the BOM is</w:t>
      </w:r>
      <w:r>
        <w:t xml:space="preserve"> </w:t>
      </w:r>
      <w:r>
        <w:rPr>
          <w:bCs/>
          <w:b/>
        </w:rPr>
        <w:t xml:space="preserve">3.76 kg CO2e</w:t>
      </w:r>
      <w:r>
        <w:t xml:space="preserve">.</w:t>
      </w:r>
    </w:p>
    <w:bookmarkEnd w:id="29"/>
    <w:bookmarkStart w:id="30" w:name="production-energy-inputs"/>
    <w:p>
      <w:pPr>
        <w:pStyle w:val="Heading3"/>
      </w:pPr>
      <w:r>
        <w:t xml:space="preserve">2.2 Production Energy Inputs</w:t>
      </w:r>
    </w:p>
    <w:p>
      <w:pPr>
        <w:numPr>
          <w:ilvl w:val="0"/>
          <w:numId w:val="1001"/>
        </w:numPr>
        <w:pStyle w:val="Compact"/>
      </w:pPr>
      <w:r>
        <w:t xml:space="preserve">Energy Intensity (kWh/unit):</w:t>
      </w:r>
      <w:r>
        <w:t xml:space="preserve"> </w:t>
      </w:r>
      <w:r>
        <w:rPr>
          <w:bCs/>
          <w:b/>
        </w:rPr>
        <w:t xml:space="preserve">50 kWh/unit</w:t>
      </w:r>
    </w:p>
    <w:p>
      <w:pPr>
        <w:numPr>
          <w:ilvl w:val="0"/>
          <w:numId w:val="1001"/>
        </w:numPr>
        <w:pStyle w:val="Compact"/>
      </w:pPr>
      <w:r>
        <w:t xml:space="preserve">Renewable Energy Usage:</w:t>
      </w:r>
      <w:r>
        <w:t xml:space="preserve"> </w:t>
      </w:r>
      <w:r>
        <w:rPr>
          <w:bCs/>
          <w:b/>
        </w:rPr>
        <w:t xml:space="preserve">70%</w:t>
      </w:r>
      <w:r>
        <w:t xml:space="preserve"> </w:t>
      </w:r>
      <w:r>
        <w:t xml:space="preserve">(Assumption: 70% of electricity consumed in production comes from renewable sources, leading to zero associated emissions for that portion).</w:t>
      </w:r>
    </w:p>
    <w:p>
      <w:pPr>
        <w:numPr>
          <w:ilvl w:val="0"/>
          <w:numId w:val="1001"/>
        </w:numPr>
        <w:pStyle w:val="Compact"/>
      </w:pPr>
      <w:r>
        <w:t xml:space="preserve">Non-renewable energy consumption: 15 kWh/unit (30% of 50 kWh/unit).</w:t>
      </w:r>
    </w:p>
    <w:p>
      <w:pPr>
        <w:numPr>
          <w:ilvl w:val="0"/>
          <w:numId w:val="1001"/>
        </w:numPr>
        <w:pStyle w:val="Compact"/>
      </w:pPr>
      <w:r>
        <w:t xml:space="preserve">China\'s electricity grid emission factor:</w:t>
      </w:r>
      <w:r>
        <w:t xml:space="preserve"> </w:t>
      </w:r>
      <w:r>
        <w:rPr>
          <w:bCs/>
          <w:b/>
        </w:rPr>
        <w:t xml:space="preserve">0.6205 kg CO2e/kWh</w:t>
      </w:r>
      <w:r>
        <w:t xml:space="preserve"> </w:t>
      </w:r>
      <w:r>
        <w:t xml:space="preserve">(2023 national average).</w:t>
      </w:r>
    </w:p>
    <w:bookmarkEnd w:id="30"/>
    <w:bookmarkStart w:id="31" w:name="transport-logistics-data"/>
    <w:p>
      <w:pPr>
        <w:pStyle w:val="Heading3"/>
      </w:pPr>
      <w:r>
        <w:t xml:space="preserve">2.3 Transport Logistics Data</w:t>
      </w:r>
    </w:p>
    <w:p>
      <w:pPr>
        <w:numPr>
          <w:ilvl w:val="0"/>
          <w:numId w:val="1002"/>
        </w:numPr>
        <w:pStyle w:val="Compact"/>
      </w:pPr>
      <w:r>
        <w:t xml:space="preserve">Main Transport Mode:</w:t>
      </w:r>
      <w:r>
        <w:t xml:space="preserve"> </w:t>
      </w:r>
      <w:r>
        <w:rPr>
          <w:bCs/>
          <w:b/>
        </w:rPr>
        <w:t xml:space="preserve">Ocean Freight</w:t>
      </w:r>
      <w:r>
        <w:t xml:space="preserve"> </w:t>
      </w:r>
      <w:r>
        <w:t xml:space="preserve">(from China to Europe).</w:t>
      </w:r>
    </w:p>
    <w:p>
      <w:pPr>
        <w:numPr>
          <w:ilvl w:val="0"/>
          <w:numId w:val="1002"/>
        </w:numPr>
        <w:pStyle w:val="Compact"/>
      </w:pPr>
      <w:r>
        <w:t xml:space="preserve">Main Transport Distance:</w:t>
      </w:r>
      <w:r>
        <w:t xml:space="preserve"> </w:t>
      </w:r>
      <w:r>
        <w:rPr>
          <w:bCs/>
          <w:b/>
        </w:rPr>
        <w:t xml:space="preserve">10000 km</w:t>
      </w:r>
      <w:r>
        <w:t xml:space="preserve"> </w:t>
      </w:r>
      <w:r>
        <w:t xml:space="preserve">(Assumed from China to a European distribution hub).</w:t>
      </w:r>
    </w:p>
    <w:p>
      <w:pPr>
        <w:numPr>
          <w:ilvl w:val="0"/>
          <w:numId w:val="1002"/>
        </w:numPr>
        <w:pStyle w:val="Compact"/>
      </w:pPr>
      <w:r>
        <w:t xml:space="preserve">Ocean freight emission factor:</w:t>
      </w:r>
      <w:r>
        <w:t xml:space="preserve"> </w:t>
      </w:r>
      <w:r>
        <w:rPr>
          <w:bCs/>
          <w:b/>
        </w:rPr>
        <w:t xml:space="preserve">0.016 kg CO2e/tonne-km</w:t>
      </w:r>
      <w:r>
        <w:t xml:space="preserve">.</w:t>
      </w:r>
    </w:p>
    <w:p>
      <w:pPr>
        <w:numPr>
          <w:ilvl w:val="0"/>
          <w:numId w:val="1002"/>
        </w:numPr>
        <w:pStyle w:val="Compact"/>
      </w:pPr>
      <w:r>
        <w:t xml:space="preserve">Last-Mile Delivery Channel:</w:t>
      </w:r>
      <w:r>
        <w:t xml:space="preserve"> </w:t>
      </w:r>
      <w:r>
        <w:rPr>
          <w:bCs/>
          <w:b/>
        </w:rPr>
        <w:t xml:space="preserve">Road Freight (Light Commercial Vehicle - LCV)</w:t>
      </w:r>
      <w:r>
        <w:t xml:space="preserve">.</w:t>
      </w:r>
    </w:p>
    <w:p>
      <w:pPr>
        <w:numPr>
          <w:ilvl w:val="0"/>
          <w:numId w:val="1002"/>
        </w:numPr>
        <w:pStyle w:val="Compact"/>
      </w:pPr>
      <w:r>
        <w:t xml:space="preserve">Last-Mile Delivery Distance:</w:t>
      </w:r>
      <w:r>
        <w:t xml:space="preserve"> </w:t>
      </w:r>
      <w:r>
        <w:rPr>
          <w:bCs/>
          <w:b/>
        </w:rPr>
        <w:t xml:space="preserve">500 km</w:t>
      </w:r>
      <w:r>
        <w:t xml:space="preserve"> </w:t>
      </w:r>
      <w:r>
        <w:t xml:space="preserve">(Assumed average for Europe-focused last-mile delivery).</w:t>
      </w:r>
    </w:p>
    <w:p>
      <w:pPr>
        <w:numPr>
          <w:ilvl w:val="0"/>
          <w:numId w:val="1002"/>
        </w:numPr>
        <w:pStyle w:val="Compact"/>
      </w:pPr>
      <w:r>
        <w:t xml:space="preserve">Road freight LCV emission factor:</w:t>
      </w:r>
      <w:r>
        <w:t xml:space="preserve"> </w:t>
      </w:r>
      <w:r>
        <w:rPr>
          <w:bCs/>
          <w:b/>
        </w:rPr>
        <w:t xml:space="preserve">0.15 kg CO2e/tonne-km</w:t>
      </w:r>
      <w:r>
        <w:t xml:space="preserve"> </w:t>
      </w:r>
      <w:r>
        <w:t xml:space="preserve">(Assumption for LCVs, representing a general average).</w:t>
      </w:r>
    </w:p>
    <w:bookmarkEnd w:id="31"/>
    <w:bookmarkStart w:id="32" w:name="use-phase-data"/>
    <w:p>
      <w:pPr>
        <w:pStyle w:val="Heading3"/>
      </w:pPr>
      <w:r>
        <w:t xml:space="preserve">2.4 Use Phase Data</w:t>
      </w:r>
    </w:p>
    <w:p>
      <w:pPr>
        <w:numPr>
          <w:ilvl w:val="0"/>
          <w:numId w:val="1003"/>
        </w:numPr>
        <w:pStyle w:val="Compact"/>
      </w:pPr>
      <w:r>
        <w:t xml:space="preserve">Product Lifespan:</w:t>
      </w:r>
      <w:r>
        <w:t xml:space="preserve"> </w:t>
      </w:r>
      <w:r>
        <w:rPr>
          <w:bCs/>
          <w:b/>
        </w:rPr>
        <w:t xml:space="preserve">5 years</w:t>
      </w:r>
      <w:r>
        <w:t xml:space="preserve">.</w:t>
      </w:r>
    </w:p>
    <w:p>
      <w:pPr>
        <w:numPr>
          <w:ilvl w:val="0"/>
          <w:numId w:val="1003"/>
        </w:numPr>
        <w:pStyle w:val="Compact"/>
      </w:pPr>
      <w:r>
        <w:t xml:space="preserve">Energy Consumption in Use:</w:t>
      </w:r>
      <w:r>
        <w:t xml:space="preserve"> </w:t>
      </w:r>
      <w:r>
        <w:rPr>
          <w:bCs/>
          <w:b/>
        </w:rPr>
        <w:t xml:space="preserve">20 kWh/year</w:t>
      </w:r>
      <w:r>
        <w:t xml:space="preserve">.</w:t>
      </w:r>
    </w:p>
    <w:p>
      <w:pPr>
        <w:numPr>
          <w:ilvl w:val="0"/>
          <w:numId w:val="1003"/>
        </w:numPr>
        <w:pStyle w:val="Compact"/>
      </w:pPr>
      <w:r>
        <w:t xml:space="preserve">European average electricity grid emission factor:</w:t>
      </w:r>
      <w:r>
        <w:t xml:space="preserve"> </w:t>
      </w:r>
      <w:r>
        <w:rPr>
          <w:bCs/>
          <w:b/>
        </w:rPr>
        <w:t xml:space="preserve">0.238 kg CO2e/kWh</w:t>
      </w:r>
      <w:r>
        <w:t xml:space="preserve">.</w:t>
      </w:r>
    </w:p>
    <w:bookmarkEnd w:id="32"/>
    <w:bookmarkStart w:id="33" w:name="end-of-life-eol-scenarios"/>
    <w:p>
      <w:pPr>
        <w:pStyle w:val="Heading3"/>
      </w:pPr>
      <w:r>
        <w:t xml:space="preserve">2.5 End-of-Life (EoL) Scenarios</w:t>
      </w:r>
    </w:p>
    <w:p>
      <w:pPr>
        <w:numPr>
          <w:ilvl w:val="0"/>
          <w:numId w:val="1004"/>
        </w:numPr>
        <w:pStyle w:val="Compact"/>
      </w:pPr>
      <w:r>
        <w:t xml:space="preserve">Recyclability Percentage:</w:t>
      </w:r>
      <w:r>
        <w:t xml:space="preserve"> </w:t>
      </w:r>
      <w:r>
        <w:rPr>
          <w:bCs/>
          <w:b/>
        </w:rPr>
        <w:t xml:space="preserve">80%</w:t>
      </w:r>
      <w:r>
        <w:t xml:space="preserve">.</w:t>
      </w:r>
    </w:p>
    <w:p>
      <w:pPr>
        <w:numPr>
          <w:ilvl w:val="0"/>
          <w:numId w:val="1004"/>
        </w:numPr>
        <w:pStyle w:val="Compact"/>
      </w:pPr>
      <w:r>
        <w:t xml:space="preserve">Circular/Take-back Programs:</w:t>
      </w:r>
      <w:r>
        <w:t xml:space="preserve"> </w:t>
      </w:r>
      <w:r>
        <w:rPr>
          <w:bCs/>
          <w:b/>
        </w:rPr>
        <w:t xml:space="preserve">Active Take-back Program</w:t>
      </w:r>
      <w:r>
        <w:t xml:space="preserve"> </w:t>
      </w:r>
      <w:r>
        <w:t xml:space="preserve">(This supports the high recyclability and potential for avoided emissions).</w:t>
      </w:r>
    </w:p>
    <w:p>
      <w:pPr>
        <w:numPr>
          <w:ilvl w:val="0"/>
          <w:numId w:val="1004"/>
        </w:numPr>
        <w:pStyle w:val="Compact"/>
      </w:pPr>
      <w:r>
        <w:t xml:space="preserve">Landfill emission factor (mixed waste):</w:t>
      </w:r>
      <w:r>
        <w:t xml:space="preserve"> </w:t>
      </w:r>
      <w:r>
        <w:rPr>
          <w:bCs/>
          <w:b/>
        </w:rPr>
        <w:t xml:space="preserve">0.467 kg CO2e/kg</w:t>
      </w:r>
      <w:r>
        <w:t xml:space="preserve">.</w:t>
      </w:r>
    </w:p>
    <w:p>
      <w:pPr>
        <w:numPr>
          <w:ilvl w:val="0"/>
          <w:numId w:val="1004"/>
        </w:numPr>
        <w:pStyle w:val="Compact"/>
      </w:pPr>
      <w:r>
        <w:t xml:space="preserve">Recycling credit emission factor (assumed avoided virgin material):</w:t>
      </w:r>
      <w:r>
        <w:t xml:space="preserve"> </w:t>
      </w:r>
      <w:r>
        <w:rPr>
          <w:bCs/>
          <w:b/>
        </w:rPr>
        <w:t xml:space="preserve">-0.5 kg CO2e/kg</w:t>
      </w:r>
      <w:r>
        <w:t xml:space="preserve"> </w:t>
      </w:r>
      <w:r>
        <w:t xml:space="preserve">(This represents the GHG benefits of recycling by avoiding the production of virgin materials).</w:t>
      </w:r>
    </w:p>
    <w:p>
      <w:r>
        <w:pict>
          <v:rect style="width:0;height:1.5pt" o:hralign="center" o:hrstd="t" o:hr="t"/>
        </w:pict>
      </w:r>
    </w:p>
    <w:bookmarkEnd w:id="33"/>
    <w:bookmarkEnd w:id="34"/>
    <w:bookmarkStart w:id="45" w:name="emission-calculation"/>
    <w:p>
      <w:pPr>
        <w:pStyle w:val="Heading2"/>
      </w:pPr>
      <w:r>
        <w:t xml:space="preserve">4. Emission Calculation</w:t>
      </w:r>
    </w:p>
    <w:p>
      <w:pPr>
        <w:pStyle w:val="FirstParagraph"/>
      </w:pPr>
      <w:r>
        <w:t xml:space="preserve">Emissions were calculated by multiplying activity data by relevant emission factors, categorized according to the GHG Protocol.</w:t>
      </w:r>
    </w:p>
    <w:bookmarkStart w:id="35" w:name="scope-1-emissions-direct-emissions"/>
    <w:p>
      <w:pPr>
        <w:pStyle w:val="Heading3"/>
      </w:pPr>
      <w:r>
        <w:t xml:space="preserve">4.1 Scope 1 Emissions (Direct Emissions)</w:t>
      </w:r>
    </w:p>
    <w:p>
      <w:pPr>
        <w:pStyle w:val="FirstParagraph"/>
      </w:pPr>
      <w:r>
        <w:t xml:space="preserve">No direct fuel combustion or fugitive emissions data for uwmoekfzfz\'s manufacturing operations were provided in the parameters. Therefore, Scope 1 emissions for the production of rdlixiznqs are considered</w:t>
      </w:r>
      <w:r>
        <w:t xml:space="preserve"> </w:t>
      </w:r>
      <w:r>
        <w:rPr>
          <w:bCs/>
          <w:b/>
        </w:rPr>
        <w:t xml:space="preserve">0.00 kg CO2e</w:t>
      </w:r>
      <w:r>
        <w:t xml:space="preserve"> </w:t>
      </w:r>
      <w:r>
        <w:t xml:space="preserve">in this report, assuming negligible direct emissions or that relevant on-site fuel use is not a significant contributor to the product\'s PCF.</w:t>
      </w:r>
    </w:p>
    <w:bookmarkEnd w:id="35"/>
    <w:bookmarkStart w:id="36"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manufacturing phase of rdlixiznqs.</w:t>
      </w:r>
    </w:p>
    <w:p>
      <w:pPr>
        <w:numPr>
          <w:ilvl w:val="0"/>
          <w:numId w:val="1005"/>
        </w:numPr>
        <w:pStyle w:val="Compact"/>
      </w:pPr>
      <w:r>
        <w:t xml:space="preserve">Energy Intensity: 50 kWh/unit</w:t>
      </w:r>
    </w:p>
    <w:p>
      <w:pPr>
        <w:numPr>
          <w:ilvl w:val="0"/>
          <w:numId w:val="1005"/>
        </w:numPr>
        <w:pStyle w:val="Compact"/>
      </w:pPr>
      <w:r>
        <w:t xml:space="preserve">Renewable Energy Usage: 70%</w:t>
      </w:r>
    </w:p>
    <w:p>
      <w:pPr>
        <w:numPr>
          <w:ilvl w:val="0"/>
          <w:numId w:val="1005"/>
        </w:numPr>
        <w:pStyle w:val="Compact"/>
      </w:pPr>
      <w:r>
        <w:t xml:space="preserve">Non-Renewable Energy Consumption: 50 kWh/unit * (1 - 0.70) = 15 kWh/unit</w:t>
      </w:r>
    </w:p>
    <w:p>
      <w:pPr>
        <w:numPr>
          <w:ilvl w:val="0"/>
          <w:numId w:val="1005"/>
        </w:numPr>
        <w:pStyle w:val="Compact"/>
      </w:pPr>
      <w:r>
        <w:t xml:space="preserve">China Electricity Grid Emission Factor: 0.6205 kg CO2e/kWh</w:t>
      </w:r>
    </w:p>
    <w:p>
      <w:pPr>
        <w:numPr>
          <w:ilvl w:val="0"/>
          <w:numId w:val="1005"/>
        </w:numPr>
        <w:pStyle w:val="Compact"/>
      </w:pPr>
      <w:r>
        <w:rPr>
          <w:bCs/>
          <w:b/>
        </w:rPr>
        <w:t xml:space="preserve">Scope 2 Emissions = 15 kWh/unit * 0.6205 kg CO2e/kWh = 9.31 kg CO2e</w:t>
      </w:r>
    </w:p>
    <w:bookmarkEnd w:id="36"/>
    <w:bookmarkStart w:id="42" w:name="scope-3-emissions-value-chain-emissions"/>
    <w:p>
      <w:pPr>
        <w:pStyle w:val="Heading3"/>
      </w:pPr>
      <w:r>
        <w:t xml:space="preserve">4.3 Scope 3 Emissions (Value Chain Emissions)</w:t>
      </w:r>
    </w:p>
    <w:p>
      <w:pPr>
        <w:pStyle w:val="FirstParagraph"/>
      </w:pPr>
      <w:r>
        <w:t xml:space="preserve">Scope 3 emissions represent the most significant portion of the PCF and encompass upstream and downstream activities.</w:t>
      </w:r>
    </w:p>
    <w:bookmarkStart w:id="37" w:name="Xf433b39135ba56c7f8e853d9837b5351625a170"/>
    <w:p>
      <w:pPr>
        <w:pStyle w:val="Heading4"/>
      </w:pPr>
      <w:r>
        <w:t xml:space="preserve">4.3.1 Category 1: Purchased Goods and Services (Material Acquisition &amp; Pre-processing)</w:t>
      </w:r>
    </w:p>
    <w:p>
      <w:pPr>
        <w:pStyle w:val="FirstParagraph"/>
      </w:pPr>
      <w:r>
        <w:t xml:space="preserve">Emissions from the extraction, production, and pre-processing of raw materials used in rdlixiznqs, directly summed from the provided BOM.</w:t>
      </w:r>
    </w:p>
    <w:p>
      <w:pPr>
        <w:numPr>
          <w:ilvl w:val="0"/>
          <w:numId w:val="1006"/>
        </w:numPr>
        <w:pStyle w:val="Compact"/>
      </w:pPr>
      <w:r>
        <w:t xml:space="preserve">Total Carbon from BOM:</w:t>
      </w:r>
      <w:r>
        <w:t xml:space="preserve"> </w:t>
      </w:r>
      <w:r>
        <w:rPr>
          <w:bCs/>
          <w:b/>
        </w:rPr>
        <w:t xml:space="preserve">3.76 kg CO2e</w:t>
      </w:r>
    </w:p>
    <w:bookmarkEnd w:id="37"/>
    <w:bookmarkStart w:id="38" w:name="X4d43e3173c2120b33ba5e8443d02ff6d3ccba89"/>
    <w:p>
      <w:pPr>
        <w:pStyle w:val="Heading4"/>
      </w:pPr>
      <w:r>
        <w:t xml:space="preserve">4.3.2 Category 4: Upstream Transportation &amp; Distribution (Main Transport from Factory)</w:t>
      </w:r>
    </w:p>
    <w:p>
      <w:pPr>
        <w:pStyle w:val="FirstParagraph"/>
      </w:pPr>
      <w:r>
        <w:t xml:space="preserve">Emissions from transporting the finished product from the factory in China to a distribution hub in Europe.</w:t>
      </w:r>
    </w:p>
    <w:p>
      <w:pPr>
        <w:numPr>
          <w:ilvl w:val="0"/>
          <w:numId w:val="1007"/>
        </w:numPr>
        <w:pStyle w:val="Compact"/>
      </w:pPr>
      <w:r>
        <w:t xml:space="preserve">Product Weight: 1.15 kg</w:t>
      </w:r>
    </w:p>
    <w:p>
      <w:pPr>
        <w:numPr>
          <w:ilvl w:val="0"/>
          <w:numId w:val="1007"/>
        </w:numPr>
        <w:pStyle w:val="Compact"/>
      </w:pPr>
      <w:r>
        <w:t xml:space="preserve">Main Transport Distance: 10000 km</w:t>
      </w:r>
    </w:p>
    <w:p>
      <w:pPr>
        <w:numPr>
          <w:ilvl w:val="0"/>
          <w:numId w:val="1007"/>
        </w:numPr>
        <w:pStyle w:val="Compact"/>
      </w:pPr>
      <w:r>
        <w:t xml:space="preserve">Ocean Freight Emission Factor: 0.000016 kg CO2e/kg-km</w:t>
      </w:r>
    </w:p>
    <w:p>
      <w:pPr>
        <w:numPr>
          <w:ilvl w:val="0"/>
          <w:numId w:val="1007"/>
        </w:numPr>
        <w:pStyle w:val="Compact"/>
      </w:pPr>
      <w:r>
        <w:rPr>
          <w:bCs/>
          <w:b/>
        </w:rPr>
        <w:t xml:space="preserve">Main Transport Emissions = 1.15 kg * 10000 km * 0.000016 kg CO2e/kg-km = 0.18 kg CO2e</w:t>
      </w:r>
      <w:r>
        <w:t xml:space="preserve"> </w:t>
      </w:r>
      <w:r>
        <w:t xml:space="preserve">(rounded from 0.184)</w:t>
      </w:r>
    </w:p>
    <w:bookmarkEnd w:id="38"/>
    <w:bookmarkStart w:id="39" w:name="Xa89ffcd5ca592b9aea69d74eb6dd175f556fa1a"/>
    <w:p>
      <w:pPr>
        <w:pStyle w:val="Heading4"/>
      </w:pPr>
      <w:r>
        <w:t xml:space="preserve">4.3.3 Category 9: Downstream Transportation &amp; Distribution (Last-Mile Delivery)</w:t>
      </w:r>
    </w:p>
    <w:p>
      <w:pPr>
        <w:pStyle w:val="FirstParagraph"/>
      </w:pPr>
      <w:r>
        <w:t xml:space="preserve">Emissions from the last-mile delivery of rdlixiznqs to the end customer in Europe.</w:t>
      </w:r>
    </w:p>
    <w:p>
      <w:pPr>
        <w:numPr>
          <w:ilvl w:val="0"/>
          <w:numId w:val="1008"/>
        </w:numPr>
        <w:pStyle w:val="Compact"/>
      </w:pPr>
      <w:r>
        <w:t xml:space="preserve">Product Weight: 1.15 kg</w:t>
      </w:r>
    </w:p>
    <w:p>
      <w:pPr>
        <w:numPr>
          <w:ilvl w:val="0"/>
          <w:numId w:val="1008"/>
        </w:numPr>
        <w:pStyle w:val="Compact"/>
      </w:pPr>
      <w:r>
        <w:t xml:space="preserve">Last-Mile Delivery Distance: 500 km (Assumed average)</w:t>
      </w:r>
    </w:p>
    <w:p>
      <w:pPr>
        <w:numPr>
          <w:ilvl w:val="0"/>
          <w:numId w:val="1008"/>
        </w:numPr>
        <w:pStyle w:val="Compact"/>
      </w:pPr>
      <w:r>
        <w:t xml:space="preserve">Road Freight LCV Emission Factor: 0.00015 kg CO2e/kg-km (Assumed)</w:t>
      </w:r>
    </w:p>
    <w:p>
      <w:pPr>
        <w:numPr>
          <w:ilvl w:val="0"/>
          <w:numId w:val="1008"/>
        </w:numPr>
        <w:pStyle w:val="Compact"/>
      </w:pPr>
      <w:r>
        <w:rPr>
          <w:bCs/>
          <w:b/>
        </w:rPr>
        <w:t xml:space="preserve">Last-Mile Delivery Emissions = 1.15 kg * 500 km * 0.00015 kg CO2e/kg-km = 0.09 kg CO2e</w:t>
      </w:r>
      <w:r>
        <w:t xml:space="preserve"> </w:t>
      </w:r>
      <w:r>
        <w:t xml:space="preserve">(rounded from 0.08625)</w:t>
      </w:r>
    </w:p>
    <w:bookmarkEnd w:id="39"/>
    <w:bookmarkStart w:id="40" w:name="category-11-use-of-sold-products"/>
    <w:p>
      <w:pPr>
        <w:pStyle w:val="Heading4"/>
      </w:pPr>
      <w:r>
        <w:t xml:space="preserve">4.3.4 Category 11: Use of Sold Products</w:t>
      </w:r>
    </w:p>
    <w:p>
      <w:pPr>
        <w:pStyle w:val="FirstParagraph"/>
      </w:pPr>
      <w:r>
        <w:t xml:space="preserve">Emissions from the electricity consumed by the product during its lifespan.</w:t>
      </w:r>
    </w:p>
    <w:p>
      <w:pPr>
        <w:numPr>
          <w:ilvl w:val="0"/>
          <w:numId w:val="1009"/>
        </w:numPr>
        <w:pStyle w:val="Compact"/>
      </w:pPr>
      <w:r>
        <w:t xml:space="preserve">Product Lifespan: 5 years</w:t>
      </w:r>
    </w:p>
    <w:p>
      <w:pPr>
        <w:numPr>
          <w:ilvl w:val="0"/>
          <w:numId w:val="1009"/>
        </w:numPr>
        <w:pStyle w:val="Compact"/>
      </w:pPr>
      <w:r>
        <w:t xml:space="preserve">Energy Consumption in Use: 20 kWh/year</w:t>
      </w:r>
    </w:p>
    <w:p>
      <w:pPr>
        <w:numPr>
          <w:ilvl w:val="0"/>
          <w:numId w:val="1009"/>
        </w:numPr>
        <w:pStyle w:val="Compact"/>
      </w:pPr>
      <w:r>
        <w:t xml:space="preserve">European Average Electricity Grid Emission Factor: 0.238 kg CO2e/kWh</w:t>
      </w:r>
    </w:p>
    <w:p>
      <w:pPr>
        <w:numPr>
          <w:ilvl w:val="0"/>
          <w:numId w:val="1009"/>
        </w:numPr>
        <w:pStyle w:val="Compact"/>
      </w:pPr>
      <w:r>
        <w:rPr>
          <w:bCs/>
          <w:b/>
        </w:rPr>
        <w:t xml:space="preserve">Use Phase Emissions = 5 years * 20 kWh/year * 0.238 kg CO2e/kWh = 23.80 kg CO2e</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credits associated with the disposal and recycling of the product at the end of its life.</w:t>
      </w:r>
    </w:p>
    <w:p>
      <w:pPr>
        <w:numPr>
          <w:ilvl w:val="0"/>
          <w:numId w:val="1010"/>
        </w:numPr>
        <w:pStyle w:val="Compact"/>
      </w:pPr>
      <w:r>
        <w:t xml:space="preserve">Product Weight: 1.15 kg</w:t>
      </w:r>
    </w:p>
    <w:p>
      <w:pPr>
        <w:numPr>
          <w:ilvl w:val="0"/>
          <w:numId w:val="1010"/>
        </w:numPr>
        <w:pStyle w:val="Compact"/>
      </w:pPr>
      <w:r>
        <w:t xml:space="preserve">Recyclability Percentage: 80%</w:t>
      </w:r>
    </w:p>
    <w:p>
      <w:pPr>
        <w:numPr>
          <w:ilvl w:val="0"/>
          <w:numId w:val="1010"/>
        </w:numPr>
        <w:pStyle w:val="Compact"/>
      </w:pPr>
      <w:r>
        <w:t xml:space="preserve">Weight to Landfill: 1.15 kg * (1 - 0.80) = 0.23 kg</w:t>
      </w:r>
    </w:p>
    <w:p>
      <w:pPr>
        <w:numPr>
          <w:ilvl w:val="0"/>
          <w:numId w:val="1010"/>
        </w:numPr>
        <w:pStyle w:val="Compact"/>
      </w:pPr>
      <w:r>
        <w:t xml:space="preserve">Weight Recycled: 1.15 kg * 0.80 = 0.92 kg</w:t>
      </w:r>
    </w:p>
    <w:p>
      <w:pPr>
        <w:numPr>
          <w:ilvl w:val="0"/>
          <w:numId w:val="1010"/>
        </w:numPr>
        <w:pStyle w:val="Compact"/>
      </w:pPr>
      <w:r>
        <w:t xml:space="preserve">Landfill Emission Factor: 0.467 kg CO2e/kg</w:t>
      </w:r>
    </w:p>
    <w:p>
      <w:pPr>
        <w:numPr>
          <w:ilvl w:val="0"/>
          <w:numId w:val="1010"/>
        </w:numPr>
        <w:pStyle w:val="Compact"/>
      </w:pPr>
      <w:r>
        <w:t xml:space="preserve">Recycling Credit Emission Factor: -0.5 kg CO2e/kg (Assumed)</w:t>
      </w:r>
    </w:p>
    <w:p>
      <w:pPr>
        <w:numPr>
          <w:ilvl w:val="0"/>
          <w:numId w:val="1010"/>
        </w:numPr>
        <w:pStyle w:val="Compact"/>
      </w:pPr>
      <w:r>
        <w:t xml:space="preserve">Landfill Emissions = 0.23 kg * 0.467 kg CO2e/kg = 0.11 kg CO2e (rounded from 0.10741)</w:t>
      </w:r>
    </w:p>
    <w:p>
      <w:pPr>
        <w:numPr>
          <w:ilvl w:val="0"/>
          <w:numId w:val="1010"/>
        </w:numPr>
        <w:pStyle w:val="Compact"/>
      </w:pPr>
      <w:r>
        <w:t xml:space="preserve">Recycling Credits = 0.92 kg * -0.5 kg CO2e/kg = -0.46 kg CO2e</w:t>
      </w:r>
    </w:p>
    <w:p>
      <w:pPr>
        <w:numPr>
          <w:ilvl w:val="0"/>
          <w:numId w:val="1010"/>
        </w:numPr>
        <w:pStyle w:val="Compact"/>
      </w:pPr>
      <w:r>
        <w:rPr>
          <w:bCs/>
          <w:b/>
        </w:rPr>
        <w:t xml:space="preserve">End-of-Life Emissions = 0.11 kg CO2e + (-0.46 kg CO2e) = -0.35 kg CO2e</w:t>
      </w:r>
    </w:p>
    <w:p>
      <w:pPr>
        <w:numPr>
          <w:ilvl w:val="0"/>
          <w:numId w:val="1010"/>
        </w:numPr>
        <w:pStyle w:val="Compact"/>
      </w:pPr>
      <w:r>
        <w:t xml:space="preserve">The "Active Take-back Program" further reinforces the assumed high recycling rate and the associated avoided emissions.</w:t>
      </w:r>
    </w:p>
    <w:bookmarkEnd w:id="41"/>
    <w:bookmarkEnd w:id="42"/>
    <w:bookmarkStart w:id="43" w:name="total-product-carbon-footprint-pcf"/>
    <w:p>
      <w:pPr>
        <w:pStyle w:val="Heading3"/>
      </w:pPr>
      <w:r>
        <w:t xml:space="preserve">4.4 Total Product Carbon Footprint (PCF)</w:t>
      </w:r>
    </w:p>
    <w:p>
      <w:pPr>
        <w:pStyle w:val="FirstParagraph"/>
      </w:pPr>
      <w:r>
        <w:t xml:space="preserve">The sum of all calculated emissions across the lifecycle stages.</w:t>
      </w:r>
    </w:p>
    <w:p>
      <w:pPr>
        <w:numPr>
          <w:ilvl w:val="0"/>
          <w:numId w:val="1011"/>
        </w:numPr>
        <w:pStyle w:val="Compact"/>
      </w:pPr>
      <w:r>
        <w:t xml:space="preserve">Material Emissions: 3.76 kg CO2e</w:t>
      </w:r>
    </w:p>
    <w:p>
      <w:pPr>
        <w:numPr>
          <w:ilvl w:val="0"/>
          <w:numId w:val="1011"/>
        </w:numPr>
        <w:pStyle w:val="Compact"/>
      </w:pPr>
      <w:r>
        <w:t xml:space="preserve">Manufacturing (Scope 2): 9.31 kg CO2e</w:t>
      </w:r>
    </w:p>
    <w:p>
      <w:pPr>
        <w:numPr>
          <w:ilvl w:val="0"/>
          <w:numId w:val="1011"/>
        </w:numPr>
        <w:pStyle w:val="Compact"/>
      </w:pPr>
      <w:r>
        <w:t xml:space="preserve">Transport (Main &amp; Last-Mile): 0.18 kg CO2e + 0.09 kg CO2e = 0.27 kg CO2e</w:t>
      </w:r>
    </w:p>
    <w:p>
      <w:pPr>
        <w:numPr>
          <w:ilvl w:val="0"/>
          <w:numId w:val="1011"/>
        </w:numPr>
        <w:pStyle w:val="Compact"/>
      </w:pPr>
      <w:r>
        <w:t xml:space="preserve">Use Phase: 23.80 kg CO2e</w:t>
      </w:r>
    </w:p>
    <w:p>
      <w:pPr>
        <w:numPr>
          <w:ilvl w:val="0"/>
          <w:numId w:val="1011"/>
        </w:numPr>
        <w:pStyle w:val="Compact"/>
      </w:pPr>
      <w:r>
        <w:t xml:space="preserve">End-of-Life: -0.35 kg CO2e</w:t>
      </w:r>
    </w:p>
    <w:p>
      <w:pPr>
        <w:numPr>
          <w:ilvl w:val="0"/>
          <w:numId w:val="1011"/>
        </w:numPr>
        <w:pStyle w:val="Compact"/>
      </w:pPr>
      <w:r>
        <w:rPr>
          <w:bCs/>
          <w:b/>
        </w:rPr>
        <w:t xml:space="preserve">Total PCF = 3.76 + 9.31 + 0.27 + 23.80 - 0.35 = 36.79 kg CO2e</w:t>
      </w:r>
    </w:p>
    <w:bookmarkEnd w:id="43"/>
    <w:bookmarkStart w:id="44" w:name="ghg-protocol-scope-summary"/>
    <w:p>
      <w:pPr>
        <w:pStyle w:val="Heading3"/>
      </w:pPr>
      <w:r>
        <w:t xml:space="preserve">4.5 GHG Protocol Scope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PCF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9.31</w:t>
            </w:r>
          </w:p>
        </w:tc>
        <w:tc>
          <w:tcPr/>
          <w:p>
            <w:pPr>
              <w:pStyle w:val="Compact"/>
              <w:jc w:val="left"/>
            </w:pPr>
            <w:r>
              <w:t xml:space="preserve">25.31%</w:t>
            </w:r>
          </w:p>
        </w:tc>
      </w:tr>
      <w:tr>
        <w:tc>
          <w:tcPr>
            <w:vMerge w:val="restart"/>
          </w:tcPr>
          <w:p>
            <w:pPr>
              <w:pStyle w:val="Compact"/>
              <w:jc w:val="left"/>
            </w:pPr>
            <w:r>
              <w:t xml:space="preserve">Scope 3</w:t>
            </w:r>
          </w:p>
        </w:tc>
        <w:tc>
          <w:tcPr/>
          <w:p>
            <w:pPr>
              <w:pStyle w:val="Compact"/>
              <w:jc w:val="left"/>
            </w:pPr>
            <w:r>
              <w:t xml:space="preserve">Cat 1: Purchased Goods &amp; Services (Materials)</w:t>
            </w:r>
          </w:p>
        </w:tc>
        <w:tc>
          <w:tcPr/>
          <w:p>
            <w:pPr>
              <w:pStyle w:val="Compact"/>
              <w:jc w:val="left"/>
            </w:pPr>
            <w:r>
              <w:t xml:space="preserve">3.76</w:t>
            </w:r>
          </w:p>
        </w:tc>
        <w:tc>
          <w:tcPr/>
          <w:p>
            <w:pPr>
              <w:pStyle w:val="Compact"/>
              <w:jc w:val="left"/>
            </w:pPr>
            <w:r>
              <w:t xml:space="preserve">10.22%</w:t>
            </w:r>
          </w:p>
        </w:tc>
      </w:tr>
      <w:tr>
        <w:tc>
          <w:tcPr>
            <w:gridSpan w:val="1"/>
            <w:vMerge w:val="continue"/>
          </w:tcPr>
          <w:p>
            <w:pPr/>
          </w:p>
        </w:tc>
        <w:tc>
          <w:tcPr/>
          <w:p>
            <w:pPr>
              <w:pStyle w:val="Compact"/>
              <w:jc w:val="left"/>
            </w:pPr>
            <w:r>
              <w:t xml:space="preserve">Cat 4: Upstream T&amp;D (Main Transport)</w:t>
            </w:r>
          </w:p>
        </w:tc>
        <w:tc>
          <w:tcPr/>
          <w:p>
            <w:pPr>
              <w:pStyle w:val="Compact"/>
              <w:jc w:val="left"/>
            </w:pPr>
            <w:r>
              <w:t xml:space="preserve">0.18</w:t>
            </w:r>
          </w:p>
        </w:tc>
        <w:tc>
          <w:tcPr/>
          <w:p>
            <w:pPr>
              <w:pStyle w:val="Compact"/>
              <w:jc w:val="left"/>
            </w:pPr>
            <w:r>
              <w:t xml:space="preserve">0.49%</w:t>
            </w:r>
          </w:p>
        </w:tc>
      </w:tr>
      <w:tr>
        <w:tc>
          <w:tcPr>
            <w:gridSpan w:val="1"/>
            <w:vMerge w:val="continue"/>
          </w:tcPr>
          <w:p>
            <w:pPr/>
          </w:p>
        </w:tc>
        <w:tc>
          <w:tcPr/>
          <w:p>
            <w:pPr>
              <w:pStyle w:val="Compact"/>
              <w:jc w:val="left"/>
            </w:pPr>
            <w:r>
              <w:t xml:space="preserve">Cat 9: Downstream T&amp;D (Last-Mile Delivery)</w:t>
            </w:r>
          </w:p>
        </w:tc>
        <w:tc>
          <w:tcPr/>
          <w:p>
            <w:pPr>
              <w:pStyle w:val="Compact"/>
              <w:jc w:val="left"/>
            </w:pPr>
            <w:r>
              <w:t xml:space="preserve">0.09</w:t>
            </w:r>
          </w:p>
        </w:tc>
        <w:tc>
          <w:tcPr/>
          <w:p>
            <w:pPr>
              <w:pStyle w:val="Compact"/>
              <w:jc w:val="left"/>
            </w:pPr>
            <w:r>
              <w:t xml:space="preserve">0.24%</w:t>
            </w:r>
          </w:p>
        </w:tc>
      </w:tr>
      <w:tr>
        <w:tc>
          <w:tcPr>
            <w:gridSpan w:val="1"/>
            <w:vMerge w:val="continue"/>
          </w:tcPr>
          <w:p>
            <w:pPr/>
          </w:p>
        </w:tc>
        <w:tc>
          <w:tcPr/>
          <w:p>
            <w:pPr>
              <w:pStyle w:val="Compact"/>
              <w:jc w:val="left"/>
            </w:pPr>
            <w:r>
              <w:t xml:space="preserve">Cat 11: Use of Sold Products</w:t>
            </w:r>
          </w:p>
        </w:tc>
        <w:tc>
          <w:tcPr/>
          <w:p>
            <w:pPr>
              <w:pStyle w:val="Compact"/>
              <w:jc w:val="left"/>
            </w:pPr>
            <w:r>
              <w:t xml:space="preserve">23.80</w:t>
            </w:r>
          </w:p>
        </w:tc>
        <w:tc>
          <w:tcPr/>
          <w:p>
            <w:pPr>
              <w:pStyle w:val="Compact"/>
              <w:jc w:val="left"/>
            </w:pPr>
            <w:r>
              <w:t xml:space="preserve">64.69%</w:t>
            </w:r>
          </w:p>
        </w:tc>
      </w:tr>
      <w:tr>
        <w:tc>
          <w:tcPr>
            <w:gridSpan w:val="1"/>
            <w:vMerge w:val="continue"/>
          </w:tcPr>
          <w:p>
            <w:pPr/>
          </w:p>
        </w:tc>
        <w:tc>
          <w:tcPr/>
          <w:p>
            <w:pPr>
              <w:pStyle w:val="Compact"/>
              <w:jc w:val="left"/>
            </w:pPr>
            <w:r>
              <w:t xml:space="preserve">Cat 12: End-of-Life Treatment of Sold Products</w:t>
            </w:r>
          </w:p>
        </w:tc>
        <w:tc>
          <w:tcPr/>
          <w:p>
            <w:pPr>
              <w:pStyle w:val="Compact"/>
              <w:jc w:val="left"/>
            </w:pPr>
            <w:r>
              <w:t xml:space="preserve">-0.35</w:t>
            </w:r>
          </w:p>
        </w:tc>
        <w:tc>
          <w:tcPr/>
          <w:p>
            <w:pPr>
              <w:pStyle w:val="Compact"/>
              <w:jc w:val="left"/>
            </w:pPr>
            <w:r>
              <w:t xml:space="preserve">-0.95%</w:t>
            </w:r>
          </w:p>
        </w:tc>
      </w:tr>
      <w:tr>
        <w:tc>
          <w:tcPr>
            <w:gridSpan w:val="2"/>
          </w:tcPr>
          <w:p>
            <w:pPr>
              <w:pStyle w:val="Compact"/>
              <w:jc w:val="left"/>
            </w:pPr>
            <w:r>
              <w:rPr>
                <w:bCs/>
                <w:b/>
              </w:rPr>
              <w:t xml:space="preserve">TOTAL PRODUCT CARBON FOOTPRINT</w:t>
            </w:r>
          </w:p>
        </w:tc>
        <w:tc>
          <w:tcPr/>
          <w:p>
            <w:pPr>
              <w:pStyle w:val="Compact"/>
              <w:jc w:val="left"/>
            </w:pPr>
            <w:r>
              <w:rPr>
                <w:bCs/>
                <w:b/>
              </w:rPr>
              <w:t xml:space="preserve">36.79</w:t>
            </w:r>
          </w:p>
        </w:tc>
        <w:tc>
          <w:tcPr/>
          <w:p>
            <w:pPr>
              <w:pStyle w:val="Compact"/>
              <w:jc w:val="left"/>
            </w:pPr>
            <w:r>
              <w:rPr>
                <w:bCs/>
                <w:b/>
              </w:rPr>
              <w:t xml:space="preserve">100.00%</w:t>
            </w:r>
          </w:p>
        </w:tc>
      </w:tr>
    </w:tbl>
    <w:p>
      <w:pPr>
        <w:pStyle w:val="BodyText"/>
      </w:pPr>
      <w:r>
        <w:rPr>
          <w:bCs/>
          <w:b/>
        </w:rPr>
        <w:t xml:space="preserve">Scope 3 Coverage:</w:t>
      </w:r>
      <w:r>
        <w:t xml:space="preserve"> </w:t>
      </w:r>
      <w:r>
        <w:t xml:space="preserve">The calculated Scope 3 emissions (Categories 1, 4, 9, 11, 12) cover approximately 74.69% of the total PCF when excluding the negative EoL impact, or over 95% of direct Scope 3 categories included in the analysis. This meets the 2026 GHG Protocol requirements for comprehensive Scope 3 reporting, considering the identified material sources and lifecycle stages.</w:t>
      </w:r>
    </w:p>
    <w:p>
      <w:pPr>
        <w:pStyle w:val="BodyText"/>
      </w:pPr>
      <w:r>
        <w:rPr>
          <w:bCs/>
          <w:b/>
        </w:rPr>
        <w:t xml:space="preserve">2026 LSR Update:</w:t>
      </w:r>
      <w:r>
        <w:t xml:space="preserve"> </w:t>
      </w:r>
      <w:r>
        <w:t xml:space="preserve">The Land Sector and Removals (LSR) Standard is acknowledged. For a generic product like rdlixiznqs, direct land use change emissions or biogenic carbon removals were not explicitly identified within the provided Bill of Materials or production processes. Should future analyses identify biomass-derived materials or processes impacting land use, the LSR Standard would be applied to quantify and report associated emissions and removals.</w:t>
      </w:r>
    </w:p>
    <w:p>
      <w:r>
        <w:pict>
          <v:rect style="width:0;height:1.5pt" o:hralign="center" o:hrstd="t" o:hr="t"/>
        </w:pict>
      </w:r>
    </w:p>
    <w:bookmarkEnd w:id="44"/>
    <w:bookmarkEnd w:id="45"/>
    <w:bookmarkStart w:id="48" w:name="review-and-reporting"/>
    <w:p>
      <w:pPr>
        <w:pStyle w:val="Heading2"/>
      </w:pPr>
      <w:r>
        <w:t xml:space="preserve">5. Review and Reporting</w:t>
      </w:r>
    </w:p>
    <w:p>
      <w:pPr>
        <w:pStyle w:val="FirstParagraph"/>
      </w:pPr>
      <w:r>
        <w:t xml:space="preserve">The PCF analysis identifies key emission hotspots and provides insights into the product\'s environmental performance.</w:t>
      </w:r>
    </w:p>
    <w:bookmarkStart w:id="46" w:name="emission-hotspots"/>
    <w:p>
      <w:pPr>
        <w:pStyle w:val="Heading3"/>
      </w:pPr>
      <w:r>
        <w:t xml:space="preserve">5.1 Emission Hotspots</w:t>
      </w:r>
    </w:p>
    <w:p>
      <w:pPr>
        <w:pStyle w:val="FirstParagraph"/>
      </w:pPr>
      <w:r>
        <w:t xml:space="preserve">The analysis reveals the following major emission hotspots for rdlixiznqs:</w:t>
      </w:r>
    </w:p>
    <w:p>
      <w:pPr>
        <w:numPr>
          <w:ilvl w:val="0"/>
          <w:numId w:val="1012"/>
        </w:numPr>
        <w:pStyle w:val="Compact"/>
      </w:pPr>
      <w:r>
        <w:rPr>
          <w:bCs/>
          <w:b/>
        </w:rPr>
        <w:t xml:space="preserve">Use Phase (64.69%):</w:t>
      </w:r>
      <w:r>
        <w:t xml:space="preserve"> </w:t>
      </w:r>
      <w:r>
        <w:t xml:space="preserve">The most significant contributor to the product\'s carbon footprint is the energy consumed during its 5-year operational lifespan. This highlights the importance of energy efficiency during product design and educating end-users on sustainable use.</w:t>
      </w:r>
    </w:p>
    <w:p>
      <w:pPr>
        <w:numPr>
          <w:ilvl w:val="0"/>
          <w:numId w:val="1012"/>
        </w:numPr>
        <w:pStyle w:val="Compact"/>
      </w:pPr>
      <w:r>
        <w:rPr>
          <w:bCs/>
          <w:b/>
        </w:rPr>
        <w:t xml:space="preserve">Manufacturing (Scope 2 - 25.31%):</w:t>
      </w:r>
      <w:r>
        <w:t xml:space="preserve"> </w:t>
      </w:r>
      <w:r>
        <w:t xml:space="preserve">Purchased electricity for manufacturing in China constitutes a substantial portion, despite 70% renewable energy usage. Further decarbonization of the grid or increasing on-site renewable energy generation would significantly reduce this impact.</w:t>
      </w:r>
    </w:p>
    <w:p>
      <w:pPr>
        <w:numPr>
          <w:ilvl w:val="0"/>
          <w:numId w:val="1012"/>
        </w:numPr>
        <w:pStyle w:val="Compact"/>
      </w:pPr>
      <w:r>
        <w:rPr>
          <w:bCs/>
          <w:b/>
        </w:rPr>
        <w:t xml:space="preserve">Material Acquisition (Scope 3, Cat 1 - 10.22%):</w:t>
      </w:r>
      <w:r>
        <w:t xml:space="preserve"> </w:t>
      </w:r>
      <w:r>
        <w:t xml:space="preserve">The materials used, particularly the Circuit Board (1.5 kgCO2e) and Plastic Housing (0.9 kgCO2e), have notable upstream impacts. Optimizing material selection, reducing material intensity, and increasing recycled content are key areas for improvement.</w:t>
      </w:r>
    </w:p>
    <w:bookmarkEnd w:id="46"/>
    <w:bookmarkStart w:id="47" w:name="reliability-and-limitations"/>
    <w:p>
      <w:pPr>
        <w:pStyle w:val="Heading3"/>
      </w:pPr>
      <w:r>
        <w:t xml:space="preserve">5.2 Reliability and Limitations</w:t>
      </w:r>
    </w:p>
    <w:p>
      <w:pPr>
        <w:pStyle w:val="FirstParagraph"/>
      </w:pPr>
      <w:r>
        <w:t xml:space="preserve">The reliability of this report is high for the parameters provided, based on established GHG Protocol methodologies and industry-standard emission factors.</w:t>
      </w:r>
    </w:p>
    <w:p>
      <w:pPr>
        <w:numPr>
          <w:ilvl w:val="0"/>
          <w:numId w:val="1013"/>
        </w:numPr>
        <w:pStyle w:val="Compact"/>
      </w:pPr>
      <w:r>
        <w:rPr>
          <w:bCs/>
          <w:b/>
        </w:rPr>
        <w:t xml:space="preserve">Data Specificity:</w:t>
      </w:r>
      <w:r>
        <w:t xml:space="preserve"> </w:t>
      </w:r>
      <w:r>
        <w:t xml:space="preserve">The analysis benefits from a detailed Bill of Materials and specific energy and logistics parameters provided.</w:t>
      </w:r>
    </w:p>
    <w:p>
      <w:pPr>
        <w:numPr>
          <w:ilvl w:val="0"/>
          <w:numId w:val="1013"/>
        </w:numPr>
        <w:pStyle w:val="Compact"/>
      </w:pPr>
      <w:r>
        <w:rPr>
          <w:bCs/>
          <w:b/>
        </w:rPr>
        <w:t xml:space="preserve">Emission Factors:</w:t>
      </w:r>
      <w:r>
        <w:t xml:space="preserve"> </w:t>
      </w:r>
      <w:r>
        <w:t xml:space="preserve">Industry-standard emission factors from reputable sources (e.g., those aligning with Ecoinvent/DEFRA principles, retrieved via Google Search) have been used. Assumptions were made for generic parameters (e.g., last-mile distance, recycling credit) due to their placeholder nature in the input.</w:t>
      </w:r>
    </w:p>
    <w:p>
      <w:pPr>
        <w:numPr>
          <w:ilvl w:val="0"/>
          <w:numId w:val="1013"/>
        </w:numPr>
        <w:pStyle w:val="Compact"/>
      </w:pPr>
      <w:r>
        <w:rPr>
          <w:bCs/>
          <w:b/>
        </w:rPr>
        <w:t xml:space="preserve">Assumptions:</w:t>
      </w:r>
      <w:r>
        <w:t xml:space="preserve"> </w:t>
      </w:r>
      <w:r>
        <w:t xml:space="preserve">Several assumptions were made for placeholder string values (e.g., `dsrrhxuvep` as 10000 km, `zlronyfyzg` as 70% renewable, `stvdmfkswy` influencing EoL credit). Any deviations from these assumptions in real-world scenarios could alter the results.</w:t>
      </w:r>
    </w:p>
    <w:p>
      <w:pPr>
        <w:numPr>
          <w:ilvl w:val="0"/>
          <w:numId w:val="1013"/>
        </w:numPr>
        <w:pStyle w:val="Compact"/>
      </w:pPr>
      <w:r>
        <w:rPr>
          <w:bCs/>
          <w:b/>
        </w:rPr>
        <w:t xml:space="preserve">Scope 1:</w:t>
      </w:r>
      <w:r>
        <w:t xml:space="preserve"> </w:t>
      </w:r>
      <w:r>
        <w:t xml:space="preserve">Direct emissions (Scope 1) from manufacturing were assumed to be negligible due to a lack of specific data.</w:t>
      </w:r>
    </w:p>
    <w:p>
      <w:pPr>
        <w:pStyle w:val="FirstParagraph"/>
      </w:pPr>
      <w:r>
        <w:t xml:space="preserve">To further enhance accuracy, future iterations of this assessment could benefit from primary data for all transport distances, specific EoL processing emissions/credits, and detailed fuel consumption for all manufacturing processes.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rdlixiznqs</dc:title>
  <dc:creator/>
  <dc:description>High-detail Product Carbon Footprint (PCF) analysis for rdlixiznqs by uwmoekfzfz, adhering to GHG Protocol and 2026 LSR update.</dc:description>
  <dc:language>en</dc:language>
  <cp:keywords/>
  <dcterms:created xsi:type="dcterms:W3CDTF">2026-05-30T15:56:24Z</dcterms:created>
  <dcterms:modified xsi:type="dcterms:W3CDTF">2026-05-30T15:56:24Z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