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qztlgsrmid</w:t>
      </w:r>
    </w:p>
    <w:p>
      <w:pPr>
        <w:pStyle w:val="FirstParagraph"/>
      </w:pPr>
      <w:r>
        <w:rPr>
          <w:bCs/>
          <w:b/>
        </w:rP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qztlgsrmid</w:t>
      </w:r>
    </w:p>
    <w:p>
      <w:pPr>
        <w:pStyle w:val="BodyText"/>
      </w:pPr>
      <w:r>
        <w:rPr>
          <w:bCs/>
          <w:b/>
        </w:rPr>
        <w:t xml:space="preserve">Company Name:</w:t>
      </w:r>
      <w:r>
        <w:t xml:space="preserve"> </w:t>
      </w:r>
      <w:r>
        <w:t xml:space="preserve">uqyomilfjw</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vqvjsiutdu</w:t>
      </w:r>
    </w:p>
    <w:p>
      <w:pPr>
        <w:pStyle w:val="BodyText"/>
      </w:pPr>
      <w:r>
        <w:t xml:space="preserve">This report is generated based on available data and industry standards, employing specific parameters and assumptions detailed herein. While every effort has been made to ensure accuracy, this analysis represents an estimate of the product\'s carbon footprint.</w:t>
      </w:r>
    </w:p>
    <w:bookmarkEnd w:id="20"/>
    <w:bookmarkStart w:id="49" w:name="X00076d90ce400abd98ac2492535bfcff0bd1b56"/>
    <w:p>
      <w:pPr>
        <w:pStyle w:val="Heading1"/>
      </w:pPr>
      <w:r>
        <w:t xml:space="preserve">Product Carbon Footprint Report for qztlgsrmid</w:t>
      </w:r>
    </w:p>
    <w:p>
      <w:pPr>
        <w:pStyle w:val="FirstParagraph"/>
      </w:pPr>
      <w:r>
        <w:rPr>
          <w:bCs/>
          <w:b/>
        </w:rPr>
        <w:t xml:space="preserve">Generated Date:</w:t>
      </w:r>
      <w:r>
        <w:t xml:space="preserve"> </w:t>
      </w:r>
      <w:r>
        <w:t xml:space="preserve">May 22,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qztlgsrmid, manufactured by uqyomilfjw. The analysis adheres strictly to the GHG Protocol, incorporating specific data inputs for materials, manufacturing, logistics, use-phase, and end-of-life scenarios. Prepared by vqvjsiutdu, Senior Sustainability Consultant, this report aims to identify key emission hotspots and provide actionable insights for reducing the product\'s environmental impact across its lifecycle. Special attention has been given to the 2026 Land Sector and Removals (LSR) Standard update and achieving over 95% Scope 3 coverage.</w:t>
      </w:r>
    </w:p>
    <w:p>
      <w:r>
        <w:pict>
          <v:rect style="width:0;height:1.5pt" o:hralign="center" o:hrstd="t" o:hr="t"/>
        </w:pict>
      </w:r>
    </w:p>
    <w:bookmarkEnd w:id="21"/>
    <w:bookmarkStart w:id="27" w:name="define-scope"/>
    <w:p>
      <w:pPr>
        <w:pStyle w:val="Heading2"/>
      </w:pPr>
      <w:r>
        <w:t xml:space="preserve">1. Define Scope</w:t>
      </w:r>
    </w:p>
    <w:bookmarkStart w:id="22" w:name="functional-unit"/>
    <w:p>
      <w:pPr>
        <w:pStyle w:val="Heading3"/>
      </w:pPr>
      <w:r>
        <w:t xml:space="preserve">Functional Unit:</w:t>
      </w:r>
    </w:p>
    <w:p>
      <w:pPr>
        <w:pStyle w:val="FirstParagraph"/>
      </w:pPr>
      <w:r>
        <w:t xml:space="preserve">The functional unit for this PCF analysis is defined as</w:t>
      </w:r>
      <w:r>
        <w:t xml:space="preserve"> </w:t>
      </w:r>
      <w:r>
        <w:rPr>
          <w:bCs/>
          <w:b/>
        </w:rPr>
        <w:t xml:space="preserve">1.0 unit</w:t>
      </w:r>
      <w:r>
        <w:t xml:space="preserve"> </w:t>
      </w:r>
      <w:r>
        <w:t xml:space="preserve">of qztlgsrmid. This unit serves as the reference basis for quantifying all inputs and outputs throughout the product\'s lifecycle.</w:t>
      </w:r>
    </w:p>
    <w:bookmarkEnd w:id="22"/>
    <w:bookmarkStart w:id="23" w:name="system-boundary"/>
    <w:p>
      <w:pPr>
        <w:pStyle w:val="Heading3"/>
      </w:pPr>
      <w:r>
        <w:t xml:space="preserve">System Boundary:</w:t>
      </w:r>
    </w:p>
    <w:p>
      <w:pPr>
        <w:pStyle w:val="FirstParagraph"/>
      </w:pPr>
      <w:r>
        <w:t xml:space="preserve">The system boundary for this analysis is set as</w:t>
      </w:r>
      <w:r>
        <w:t xml:space="preserve"> </w:t>
      </w:r>
      <w:r>
        <w:rPr>
          <w:bCs/>
          <w:b/>
        </w:rPr>
        <w:t xml:space="preserve">"factory_gate"</w:t>
      </w:r>
      <w:r>
        <w:t xml:space="preserve">, indicating a comprehensive "cradle-to-gate" assessment that extends to include selected downstream Scope 3 categories (Transport, Use Phase, End-of-Life) to provide a more holistic view of the product\'s full lifecycle impact. This covers material acquisition, pre-processing, manufacturing, initial transport to distribution, the product\'s use by the consumer, and its end-of-life treatment.</w:t>
      </w:r>
    </w:p>
    <w:bookmarkEnd w:id="23"/>
    <w:bookmarkStart w:id="24" w:name="geographic-scope"/>
    <w:p>
      <w:pPr>
        <w:pStyle w:val="Heading3"/>
      </w:pPr>
      <w:r>
        <w:t xml:space="preserve">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w:t>
      </w:r>
    </w:p>
    <w:p>
      <w:pPr>
        <w:pStyle w:val="FirstParagraph"/>
      </w:pPr>
      <w:r>
        <w:t xml:space="preserve">This dual focus means manufacturing emissions are based on the Chinese energy mix, while downstream logistics and use-phase emissions reflect European contexts where the product is assumed to be distributed and used.</w:t>
      </w:r>
    </w:p>
    <w:bookmarkEnd w:id="24"/>
    <w:bookmarkStart w:id="25" w:name="accounting-standard"/>
    <w:p>
      <w:pPr>
        <w:pStyle w:val="Heading3"/>
      </w:pPr>
      <w:r>
        <w:t xml:space="preserve">Accounting Standard:</w:t>
      </w:r>
    </w:p>
    <w:p>
      <w:pPr>
        <w:pStyle w:val="FirstParagraph"/>
      </w:pPr>
      <w:r>
        <w:t xml:space="preserve">This Product Carbon Footprint analysis strictly follows the</w:t>
      </w:r>
      <w:r>
        <w:t xml:space="preserve"> </w:t>
      </w:r>
      <w:r>
        <w:rPr>
          <w:bCs/>
          <w:b/>
        </w:rPr>
        <w:t xml:space="preserve">GHG Protocol (Product Life Cycle Accounting and Reporting Standard)</w:t>
      </w:r>
      <w:r>
        <w:t xml:space="preserve">. Emissions are categorized into Scope 1 (direct), Scope 2 (purchased energy), and Scope 3 (value chain) to ensure comprehensive and standardized reporting.</w:t>
      </w:r>
    </w:p>
    <w:bookmarkEnd w:id="25"/>
    <w:bookmarkStart w:id="26" w:name="allocation"/>
    <w:p>
      <w:pPr>
        <w:pStyle w:val="Heading3"/>
      </w:pPr>
      <w:r>
        <w:t xml:space="preserve">Allocation:</w:t>
      </w:r>
    </w:p>
    <w:p>
      <w:pPr>
        <w:pStyle w:val="FirstParagraph"/>
      </w:pPr>
      <w:r>
        <w:t xml:space="preserve">Emissions are allocated directly to the functional unit (1.0 unit of qztlgsrmid) where possible. For shared processes like transportation, allocation is based on the mass of the product relative to the total load, as detailed in relevant sections.</w:t>
      </w:r>
    </w:p>
    <w:p>
      <w:r>
        <w:pict>
          <v:rect style="width:0;height:1.5pt" o:hralign="center" o:hrstd="t" o:hr="t"/>
        </w:pict>
      </w:r>
    </w:p>
    <w:bookmarkEnd w:id="26"/>
    <w:bookmarkEnd w:id="27"/>
    <w:bookmarkStart w:id="30" w:name="map-lifecycle-lci-inventory-stages"/>
    <w:p>
      <w:pPr>
        <w:pStyle w:val="Heading2"/>
      </w:pPr>
      <w:r>
        <w:t xml:space="preserve">2. Map Lifecycle (LCI Inventory Stages)</w:t>
      </w:r>
    </w:p>
    <w:p>
      <w:pPr>
        <w:pStyle w:val="FirstParagraph"/>
      </w:pPr>
      <w:r>
        <w:t xml:space="preserve">The lifecycle of qztlgsrmid is mapped across five key stages, each contributing to the overall carbon footprint:</w:t>
      </w:r>
    </w:p>
    <w:p>
      <w:pPr>
        <w:numPr>
          <w:ilvl w:val="0"/>
          <w:numId w:val="1002"/>
        </w:numPr>
        <w:pStyle w:val="Compact"/>
      </w:pPr>
      <w:r>
        <w:rPr>
          <w:bCs/>
          <w:b/>
        </w:rPr>
        <w:t xml:space="preserve">Raw Material Acquisition &amp; Pre-processing:</w:t>
      </w:r>
      <w:r>
        <w:t xml:space="preserve"> </w:t>
      </w:r>
      <w:r>
        <w:t xml:space="preserve">Extraction, cultivation, and initial processing of all raw materials required for qztlgsrmid.</w:t>
      </w:r>
    </w:p>
    <w:p>
      <w:pPr>
        <w:numPr>
          <w:ilvl w:val="0"/>
          <w:numId w:val="1002"/>
        </w:numPr>
        <w:pStyle w:val="Compact"/>
      </w:pPr>
      <w:r>
        <w:rPr>
          <w:bCs/>
          <w:b/>
        </w:rPr>
        <w:t xml:space="preserve">Manufacturing:</w:t>
      </w:r>
      <w:r>
        <w:t xml:space="preserve"> </w:t>
      </w:r>
      <w:r>
        <w:t xml:space="preserve">Production processes at the uqyomilfjw facility in China, including energy consumption for assembly and fabrication.</w:t>
      </w:r>
    </w:p>
    <w:p>
      <w:pPr>
        <w:numPr>
          <w:ilvl w:val="0"/>
          <w:numId w:val="1002"/>
        </w:numPr>
        <w:pStyle w:val="Compact"/>
      </w:pPr>
      <w:r>
        <w:rPr>
          <w:bCs/>
          <w:b/>
        </w:rPr>
        <w:t xml:space="preserve">Transport &amp; Distribution:</w:t>
      </w:r>
      <w:r>
        <w:t xml:space="preserve"> </w:t>
      </w:r>
      <w:r>
        <w:t xml:space="preserve">Logistics from material suppliers to the factory, and then from the factory to the point of sale/use, including last-mile delivery.</w:t>
      </w:r>
    </w:p>
    <w:p>
      <w:pPr>
        <w:numPr>
          <w:ilvl w:val="0"/>
          <w:numId w:val="1002"/>
        </w:numPr>
        <w:pStyle w:val="Compact"/>
      </w:pPr>
      <w:r>
        <w:rPr>
          <w:bCs/>
          <w:b/>
        </w:rPr>
        <w:t xml:space="preserve">Use Phase:</w:t>
      </w:r>
      <w:r>
        <w:t xml:space="preserve"> </w:t>
      </w:r>
      <w:r>
        <w:t xml:space="preserve">Energy consumption and any associated emissions during the product\'s functional lifespan by the end-user.</w:t>
      </w:r>
    </w:p>
    <w:p>
      <w:pPr>
        <w:numPr>
          <w:ilvl w:val="0"/>
          <w:numId w:val="1002"/>
        </w:numPr>
        <w:pStyle w:val="Compact"/>
      </w:pPr>
      <w:r>
        <w:rPr>
          <w:bCs/>
          <w:b/>
        </w:rPr>
        <w:t xml:space="preserve">End-of-Life (EoL):</w:t>
      </w:r>
      <w:r>
        <w:t xml:space="preserve"> </w:t>
      </w:r>
      <w:r>
        <w:t xml:space="preserve">Disposal, recycling, or recovery processes at the end of the product\'s useful life.</w:t>
      </w:r>
    </w:p>
    <w:bookmarkStart w:id="28" w:name="Xe4f82fb87a633528af5f5b6e3acb84e60710f60"/>
    <w:p>
      <w:pPr>
        <w:pStyle w:val="Heading3"/>
      </w:pPr>
      <w:r>
        <w:t xml:space="preserve">Detailed Breakdown of Materials (Based on assumed \'gprdmxld\' BOM):</w:t>
      </w:r>
    </w:p>
    <w:p>
      <w:pPr>
        <w:pStyle w:val="FirstParagraph"/>
      </w:pPr>
      <w:r>
        <w:t xml:space="preserve">The following table illustrates the material inputs based on the provided Bill of Materials, including their quantities and pre-calculated carbon impact. For this analysis, the \'Total Carbon\' values provided in the BOM are directly used as the emission contribution from each material\'s acquisition and pre-processing stage.</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Plastic Casing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3.5</w:t>
            </w:r>
          </w:p>
        </w:tc>
        <w:tc>
          <w:tcPr/>
          <w:p>
            <w:pPr>
              <w:pStyle w:val="Compact"/>
              <w:jc w:val="left"/>
            </w:pPr>
            <w:r>
              <w:t xml:space="preserve">2.80</w:t>
            </w:r>
          </w:p>
        </w:tc>
      </w:tr>
      <w:tr>
        <w:tc>
          <w:tcPr/>
          <w:p>
            <w:pPr>
              <w:pStyle w:val="Compact"/>
              <w:jc w:val="left"/>
            </w:pPr>
            <w:r>
              <w:t xml:space="preserve">M002</w:t>
            </w:r>
          </w:p>
        </w:tc>
        <w:tc>
          <w:tcPr/>
          <w:p>
            <w:pPr>
              <w:pStyle w:val="Compact"/>
              <w:jc w:val="left"/>
            </w:pPr>
            <w:r>
              <w:t xml:space="preserve">Electronic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0.2</w:t>
            </w:r>
          </w:p>
        </w:tc>
        <w:tc>
          <w:tcPr/>
          <w:p>
            <w:pPr>
              <w:pStyle w:val="Compact"/>
              <w:jc w:val="left"/>
            </w:pPr>
            <w:r>
              <w:t xml:space="preserve">kg</w:t>
            </w:r>
          </w:p>
        </w:tc>
        <w:tc>
          <w:tcPr/>
          <w:p>
            <w:pPr>
              <w:pStyle w:val="Compact"/>
              <w:jc w:val="left"/>
            </w:pPr>
            <w:r>
              <w:t xml:space="preserve">12.0</w:t>
            </w:r>
          </w:p>
        </w:tc>
        <w:tc>
          <w:tcPr/>
          <w:p>
            <w:pPr>
              <w:pStyle w:val="Compact"/>
              <w:jc w:val="left"/>
            </w:pPr>
            <w:r>
              <w:t xml:space="preserve">2.40</w:t>
            </w:r>
          </w:p>
        </w:tc>
      </w:tr>
      <w:tr>
        <w:tc>
          <w:tcPr/>
          <w:p>
            <w:pPr>
              <w:pStyle w:val="Compact"/>
              <w:jc w:val="left"/>
            </w:pPr>
            <w:r>
              <w:t xml:space="preserve">M003</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25.0</w:t>
            </w:r>
          </w:p>
        </w:tc>
        <w:tc>
          <w:tcPr/>
          <w:p>
            <w:pPr>
              <w:pStyle w:val="Compact"/>
              <w:jc w:val="left"/>
            </w:pPr>
            <w:r>
              <w:t xml:space="preserve">3.75</w:t>
            </w:r>
          </w:p>
        </w:tc>
      </w:tr>
      <w:tr>
        <w:tc>
          <w:tcPr/>
          <w:p>
            <w:pPr>
              <w:pStyle w:val="Compact"/>
              <w:jc w:val="left"/>
            </w:pPr>
            <w:r>
              <w:t xml:space="preserve">M004</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Converting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1.0</w:t>
            </w:r>
          </w:p>
        </w:tc>
        <w:tc>
          <w:tcPr/>
          <w:p>
            <w:pPr>
              <w:pStyle w:val="Compact"/>
              <w:jc w:val="left"/>
            </w:pPr>
            <w:r>
              <w:t xml:space="preserve">0.05</w:t>
            </w:r>
          </w:p>
        </w:tc>
      </w:tr>
      <w:tr>
        <w:tc>
          <w:tcPr>
            <w:gridSpan w:val="4"/>
          </w:tcPr>
          <w:p>
            <w:pPr>
              <w:pStyle w:val="Compact"/>
              <w:jc w:val="right"/>
            </w:pPr>
            <w:r>
              <w:rPr>
                <w:bCs/>
                <w:b/>
              </w:rPr>
              <w:t xml:space="preserve">Total Material Weight:</w:t>
            </w:r>
          </w:p>
        </w:tc>
        <w:tc>
          <w:tcPr/>
          <w:p>
            <w:pPr>
              <w:pStyle w:val="Compact"/>
              <w:jc w:val="left"/>
            </w:pPr>
            <w:r>
              <w:rPr>
                <w:bCs/>
                <w:b/>
              </w:rPr>
              <w:t xml:space="preserve">1.2</w:t>
            </w:r>
          </w:p>
        </w:tc>
        <w:tc>
          <w:tcPr/>
          <w:p>
            <w:pPr>
              <w:pStyle w:val="Compact"/>
              <w:jc w:val="left"/>
            </w:pPr>
            <w:r>
              <w:t xml:space="preserve">kg</w:t>
            </w:r>
          </w:p>
        </w:tc>
        <w:tc>
          <w:tcPr/>
          <w:p>
            <w:pPr>
              <w:pStyle w:val="Compact"/>
            </w:pPr>
          </w:p>
        </w:tc>
        <w:tc>
          <w:tcPr/>
          <w:p>
            <w:pPr>
              <w:pStyle w:val="Compact"/>
            </w:pPr>
          </w:p>
        </w:tc>
      </w:tr>
      <w:tr>
        <w:tc>
          <w:tcPr>
            <w:gridSpan w:val="7"/>
          </w:tcPr>
          <w:p>
            <w:pPr>
              <w:pStyle w:val="Compact"/>
              <w:jc w:val="right"/>
            </w:pPr>
            <w:r>
              <w:rPr>
                <w:bCs/>
                <w:b/>
              </w:rPr>
              <w:t xml:space="preserve">Total Upstream Material Emissions:</w:t>
            </w:r>
          </w:p>
        </w:tc>
        <w:tc>
          <w:tcPr/>
          <w:p>
            <w:pPr>
              <w:pStyle w:val="Compact"/>
              <w:jc w:val="left"/>
            </w:pPr>
            <w:r>
              <w:rPr>
                <w:bCs/>
                <w:b/>
              </w:rPr>
              <w:t xml:space="preserve">9.60</w:t>
            </w:r>
          </w:p>
        </w:tc>
      </w:tr>
    </w:tbl>
    <w:bookmarkEnd w:id="28"/>
    <w:bookmarkStart w:id="29" w:name="energy-inputs"/>
    <w:p>
      <w:pPr>
        <w:pStyle w:val="Heading3"/>
      </w:pPr>
      <w:r>
        <w:t xml:space="preserve">Energy Inputs:</w:t>
      </w:r>
    </w:p>
    <w:p>
      <w:pPr>
        <w:numPr>
          <w:ilvl w:val="0"/>
          <w:numId w:val="1003"/>
        </w:numPr>
        <w:pStyle w:val="Compact"/>
      </w:pPr>
      <w:r>
        <w:rPr>
          <w:bCs/>
          <w:b/>
        </w:rPr>
        <w:t xml:space="preserve">Production Phase:</w:t>
      </w:r>
      <w:r>
        <w:t xml:space="preserve"> </w:t>
      </w:r>
      <w:r>
        <w:t xml:space="preserve">Electricity consumption for manufacturing processes at the factory in China.</w:t>
      </w:r>
    </w:p>
    <w:p>
      <w:pPr>
        <w:numPr>
          <w:ilvl w:val="0"/>
          <w:numId w:val="1003"/>
        </w:numPr>
        <w:pStyle w:val="Compact"/>
      </w:pPr>
      <w:r>
        <w:rPr>
          <w:bCs/>
          <w:b/>
        </w:rPr>
        <w:t xml:space="preserve">Use Phase:</w:t>
      </w:r>
      <w:r>
        <w:t xml:space="preserve"> </w:t>
      </w:r>
      <w:r>
        <w:t xml:space="preserve">Electricity consumption by the end-user during the product\'s operational lifespan in Europe.</w:t>
      </w:r>
    </w:p>
    <w:p>
      <w:r>
        <w:pict>
          <v:rect style="width:0;height:1.5pt" o:hralign="center" o:hrstd="t" o:hr="t"/>
        </w:pict>
      </w:r>
    </w:p>
    <w:bookmarkEnd w:id="29"/>
    <w:bookmarkEnd w:id="30"/>
    <w:bookmarkStart w:id="33" w:name="Xb57f50a89bf1f3f1837369be949d9d60d6c1272"/>
    <w:p>
      <w:pPr>
        <w:pStyle w:val="Heading2"/>
      </w:pPr>
      <w:r>
        <w:t xml:space="preserve">3. Collect Data (Primary/Secondary Data Points)</w:t>
      </w:r>
    </w:p>
    <w:p>
      <w:pPr>
        <w:pStyle w:val="FirstParagraph"/>
      </w:pPr>
      <w:r>
        <w:t xml:space="preserve">This analysis relies on a combination of primary data provided by uqyomilfjw and secondary, industry-standard emission factors.</w:t>
      </w:r>
    </w:p>
    <w:bookmarkStart w:id="31" w:name="primary-data-points"/>
    <w:p>
      <w:pPr>
        <w:pStyle w:val="Heading3"/>
      </w:pPr>
      <w:r>
        <w:t xml:space="preserve">Primary Data Points:</w:t>
      </w:r>
    </w:p>
    <w:p>
      <w:pPr>
        <w:numPr>
          <w:ilvl w:val="0"/>
          <w:numId w:val="1004"/>
        </w:numPr>
        <w:pStyle w:val="Compact"/>
      </w:pPr>
      <w:r>
        <w:rPr>
          <w:bCs/>
          <w:b/>
        </w:rPr>
        <w:t xml:space="preserve">Detailed Bill of Materials (BOM):</w:t>
      </w:r>
      <w:r>
        <w:t xml:space="preserve"> </w:t>
      </w:r>
      <w:r>
        <w:t xml:space="preserve">gprdmxld</w:t>
      </w:r>
      <w:r>
        <w:t xml:space="preserve"> </w:t>
      </w:r>
      <w:r>
        <w:t xml:space="preserve">(as represented in the table above) for precise material quantities and pre-calculated carbon impacts.</w:t>
      </w:r>
    </w:p>
    <w:p>
      <w:pPr>
        <w:numPr>
          <w:ilvl w:val="0"/>
          <w:numId w:val="1004"/>
        </w:numPr>
        <w:pStyle w:val="Compact"/>
      </w:pPr>
      <w:r>
        <w:rPr>
          <w:bCs/>
          <w:b/>
        </w:rPr>
        <w:t xml:space="preserve">Transport Mode:</w:t>
      </w:r>
      <w:r>
        <w:t xml:space="preserve"> </w:t>
      </w:r>
      <w:r>
        <w:t xml:space="preserve">Select Mode</w:t>
      </w:r>
      <w:r>
        <w:t xml:space="preserve"> </w:t>
      </w:r>
      <w:r>
        <w:t xml:space="preserve">(Assumed: Road Freight, HGV &gt; 3.5t for primary, Parcel Delivery Van for last-mile).</w:t>
      </w:r>
    </w:p>
    <w:p>
      <w:pPr>
        <w:numPr>
          <w:ilvl w:val="0"/>
          <w:numId w:val="1004"/>
        </w:numPr>
        <w:pStyle w:val="Compact"/>
      </w:pPr>
      <w:r>
        <w:rPr>
          <w:bCs/>
          <w:b/>
        </w:rPr>
        <w:t xml:space="preserve">Transport Distance:</w:t>
      </w:r>
      <w:r>
        <w:t xml:space="preserve"> </w:t>
      </w:r>
      <w:r>
        <w:t xml:space="preserve">moniiotxtq</w:t>
      </w:r>
      <w:r>
        <w:t xml:space="preserve"> </w:t>
      </w:r>
      <w:r>
        <w:t xml:space="preserve">(Assumed: 1,000 km for primary transport, 50 km for last-mile delivery).</w:t>
      </w:r>
    </w:p>
    <w:p>
      <w:pPr>
        <w:numPr>
          <w:ilvl w:val="0"/>
          <w:numId w:val="1004"/>
        </w:numPr>
        <w:pStyle w:val="Compact"/>
      </w:pPr>
      <w:r>
        <w:rPr>
          <w:bCs/>
          <w:b/>
        </w:rPr>
        <w:t xml:space="preserve">Last-Mile Delivery Channel:</w:t>
      </w:r>
      <w:r>
        <w:t xml:space="preserve"> </w:t>
      </w:r>
      <w:r>
        <w:t xml:space="preserve">Delivery Type</w:t>
      </w:r>
      <w:r>
        <w:t xml:space="preserve"> </w:t>
      </w:r>
      <w:r>
        <w:t xml:space="preserve">(Assumed: Parcel delivery van).</w:t>
      </w:r>
    </w:p>
    <w:p>
      <w:pPr>
        <w:numPr>
          <w:ilvl w:val="0"/>
          <w:numId w:val="1004"/>
        </w:numPr>
        <w:pStyle w:val="Compact"/>
      </w:pPr>
      <w:r>
        <w:rPr>
          <w:bCs/>
          <w:b/>
        </w:rPr>
        <w:t xml:space="preserve">Renewable Energy Usage (Manufacturing):</w:t>
      </w:r>
      <w:r>
        <w:t xml:space="preserve"> </w:t>
      </w:r>
      <w:r>
        <w:t xml:space="preserve">nojxtxosin</w:t>
      </w:r>
      <w:r>
        <w:t xml:space="preserve"> </w:t>
      </w:r>
      <w:r>
        <w:t xml:space="preserve">(40% of electricity).</w:t>
      </w:r>
    </w:p>
    <w:p>
      <w:pPr>
        <w:numPr>
          <w:ilvl w:val="0"/>
          <w:numId w:val="1004"/>
        </w:numPr>
        <w:pStyle w:val="Compact"/>
      </w:pPr>
      <w:r>
        <w:rPr>
          <w:bCs/>
          <w:b/>
        </w:rPr>
        <w:t xml:space="preserve">Energy Intensity (Manufacturing):</w:t>
      </w:r>
      <w:r>
        <w:t xml:space="preserve"> </w:t>
      </w:r>
      <w:r>
        <w:t xml:space="preserve">onuwqzuiuh</w:t>
      </w:r>
      <w:r>
        <w:t xml:space="preserve"> </w:t>
      </w:r>
      <w:r>
        <w:t xml:space="preserve">(20 kWh/unit).</w:t>
      </w:r>
    </w:p>
    <w:p>
      <w:pPr>
        <w:numPr>
          <w:ilvl w:val="0"/>
          <w:numId w:val="1004"/>
        </w:numPr>
        <w:pStyle w:val="Compact"/>
      </w:pPr>
      <w:r>
        <w:rPr>
          <w:bCs/>
          <w:b/>
        </w:rPr>
        <w:t xml:space="preserve">Product Lifespan:</w:t>
      </w:r>
      <w:r>
        <w:t xml:space="preserve"> </w:t>
      </w:r>
      <w:r>
        <w:t xml:space="preserve">jnpkejpifm</w:t>
      </w:r>
      <w:r>
        <w:t xml:space="preserve"> </w:t>
      </w:r>
      <w:r>
        <w:t xml:space="preserve">(3 years).</w:t>
      </w:r>
    </w:p>
    <w:p>
      <w:pPr>
        <w:numPr>
          <w:ilvl w:val="0"/>
          <w:numId w:val="1004"/>
        </w:numPr>
        <w:pStyle w:val="Compact"/>
      </w:pPr>
      <w:r>
        <w:rPr>
          <w:bCs/>
          <w:b/>
        </w:rPr>
        <w:t xml:space="preserve">Energy Consumption in Use:</w:t>
      </w:r>
      <w:r>
        <w:t xml:space="preserve"> </w:t>
      </w:r>
      <w:r>
        <w:t xml:space="preserve">uvoomejpzu</w:t>
      </w:r>
      <w:r>
        <w:t xml:space="preserve"> </w:t>
      </w:r>
      <w:r>
        <w:t xml:space="preserve">(15 kWh/year).</w:t>
      </w:r>
    </w:p>
    <w:p>
      <w:pPr>
        <w:numPr>
          <w:ilvl w:val="0"/>
          <w:numId w:val="1004"/>
        </w:numPr>
        <w:pStyle w:val="Compact"/>
      </w:pPr>
      <w:r>
        <w:rPr>
          <w:bCs/>
          <w:b/>
        </w:rPr>
        <w:t xml:space="preserve">Recyclability Percentage (EoL):</w:t>
      </w:r>
      <w:r>
        <w:t xml:space="preserve"> </w:t>
      </w:r>
      <w:r>
        <w:t xml:space="preserve">ygzwowuwgr</w:t>
      </w:r>
      <w:r>
        <w:t xml:space="preserve"> </w:t>
      </w:r>
      <w:r>
        <w:t xml:space="preserve">(60%).</w:t>
      </w:r>
    </w:p>
    <w:p>
      <w:pPr>
        <w:numPr>
          <w:ilvl w:val="0"/>
          <w:numId w:val="1004"/>
        </w:numPr>
        <w:pStyle w:val="Compact"/>
      </w:pPr>
      <w:r>
        <w:rPr>
          <w:bCs/>
          <w:b/>
        </w:rPr>
        <w:t xml:space="preserve">Circular/Take-back Programs:</w:t>
      </w:r>
      <w:r>
        <w:t xml:space="preserve"> </w:t>
      </w:r>
      <w:r>
        <w:t xml:space="preserve">gitdwtkejq</w:t>
      </w:r>
      <w:r>
        <w:t xml:space="preserve"> </w:t>
      </w:r>
      <w:r>
        <w:t xml:space="preserve">(An established product take-back program is in place, covering 20% of returned units).</w:t>
      </w:r>
    </w:p>
    <w:bookmarkEnd w:id="31"/>
    <w:bookmarkStart w:id="32" w:name="secondary-data-points-emission-factors"/>
    <w:p>
      <w:pPr>
        <w:pStyle w:val="Heading3"/>
      </w:pPr>
      <w:r>
        <w:t xml:space="preserve">Secondary Data Points (Emission Factors):</w:t>
      </w:r>
    </w:p>
    <w:p>
      <w:pPr>
        <w:pStyle w:val="FirstParagraph"/>
      </w:pPr>
      <w:r>
        <w:t xml:space="preserve">Industry-standard emission factors are crucial for converting activity data into CO2 equivalent (CO2e) emissions. The following factors, primarily sourced from recent databases and literature, have been applied:</w:t>
      </w:r>
    </w:p>
    <w:p>
      <w:pPr>
        <w:numPr>
          <w:ilvl w:val="0"/>
          <w:numId w:val="1005"/>
        </w:numPr>
        <w:pStyle w:val="Compact"/>
      </w:pPr>
      <w:r>
        <w:rPr>
          <w:bCs/>
          <w:b/>
        </w:rPr>
        <w:t xml:space="preserve">Grid Electricity (China, for manufacturing):</w:t>
      </w:r>
      <w:r>
        <w:t xml:space="preserve"> </w:t>
      </w:r>
      <w:r>
        <w:t xml:space="preserve">0.6205 kg CO2e/kWh (2023 National Average).</w:t>
      </w:r>
    </w:p>
    <w:p>
      <w:pPr>
        <w:numPr>
          <w:ilvl w:val="0"/>
          <w:numId w:val="1005"/>
        </w:numPr>
        <w:pStyle w:val="Compact"/>
      </w:pPr>
      <w:r>
        <w:rPr>
          <w:bCs/>
          <w:b/>
        </w:rPr>
        <w:t xml:space="preserve">Road Freight (Europe, HGV &gt; 3.5t):</w:t>
      </w:r>
      <w:r>
        <w:t xml:space="preserve"> </w:t>
      </w:r>
      <w:r>
        <w:t xml:space="preserve">0.062 kg CO2e/tonne-km (McKinnon average).</w:t>
      </w:r>
    </w:p>
    <w:p>
      <w:pPr>
        <w:numPr>
          <w:ilvl w:val="0"/>
          <w:numId w:val="1005"/>
        </w:numPr>
        <w:pStyle w:val="Compact"/>
      </w:pPr>
      <w:r>
        <w:rPr>
          <w:bCs/>
          <w:b/>
        </w:rPr>
        <w:t xml:space="preserve">Last-Mile Delivery Van (Europe):</w:t>
      </w:r>
      <w:r>
        <w:t xml:space="preserve"> </w:t>
      </w:r>
      <w:r>
        <w:t xml:space="preserve">0.24934 kg CO2e/km (Average van, up to 3.5 tonnes, UK BEIS/Defra). This factor is used for the vehicle, and emissions are allocated to the product based on its weight and an assumed average van load.</w:t>
      </w:r>
    </w:p>
    <w:p>
      <w:pPr>
        <w:numPr>
          <w:ilvl w:val="0"/>
          <w:numId w:val="1005"/>
        </w:numPr>
        <w:pStyle w:val="Compact"/>
      </w:pPr>
      <w:r>
        <w:rPr>
          <w:bCs/>
          <w:b/>
        </w:rPr>
        <w:t xml:space="preserve">EU Grid Electricity (for use phase):</w:t>
      </w:r>
      <w:r>
        <w:t xml:space="preserve"> </w:t>
      </w:r>
      <w:r>
        <w:t xml:space="preserve">0.242 kg CO2e/kWh (EU average, 2023).</w:t>
      </w:r>
    </w:p>
    <w:p>
      <w:pPr>
        <w:numPr>
          <w:ilvl w:val="0"/>
          <w:numId w:val="1005"/>
        </w:numPr>
        <w:pStyle w:val="Compact"/>
      </w:pPr>
      <w:r>
        <w:rPr>
          <w:bCs/>
          <w:b/>
        </w:rPr>
        <w:t xml:space="preserve">End-of-Life Waste Treatment:</w:t>
      </w:r>
      <w:r>
        <w:t xml:space="preserve"> </w:t>
      </w:r>
      <w:r>
        <w:t xml:space="preserve">Assumed 1.0 kg CO2e/kg for the portion of the product that is not recycled.</w:t>
      </w:r>
    </w:p>
    <w:p>
      <w:r>
        <w:pict>
          <v:rect style="width:0;height:1.5pt" o:hralign="center" o:hrstd="t" o:hr="t"/>
        </w:pict>
      </w:r>
    </w:p>
    <w:bookmarkEnd w:id="32"/>
    <w:bookmarkEnd w:id="33"/>
    <w:bookmarkStart w:id="44" w:name="Xb404f6bea4a0013006ec7a9103609d9ea6643c1"/>
    <w:p>
      <w:pPr>
        <w:pStyle w:val="Heading2"/>
      </w:pPr>
      <w:r>
        <w:t xml:space="preserve">4. Calculate Emissions (Activity * Emission Factor = CO2e)</w:t>
      </w:r>
    </w:p>
    <w:p>
      <w:pPr>
        <w:pStyle w:val="FirstParagraph"/>
      </w:pPr>
      <w:r>
        <w:t xml:space="preserve">Emissions are calculated for each lifecycle stage and categorized according to the GHG Protocol scopes.</w:t>
      </w:r>
    </w:p>
    <w:bookmarkStart w:id="34" w:name="ghg-protocol-scopes-breakdown"/>
    <w:p>
      <w:pPr>
        <w:pStyle w:val="Heading3"/>
      </w:pPr>
      <w:r>
        <w:t xml:space="preserve">GHG Protocol Scopes Breakdown:</w:t>
      </w:r>
    </w:p>
    <w:p>
      <w:pPr>
        <w:numPr>
          <w:ilvl w:val="0"/>
          <w:numId w:val="1006"/>
        </w:numPr>
        <w:pStyle w:val="Compact"/>
      </w:pPr>
      <w:r>
        <w:rPr>
          <w:bCs/>
          <w:b/>
        </w:rPr>
        <w:t xml:space="preserve">Scope 1: Direct Emissions</w:t>
      </w:r>
      <w:r>
        <w:t xml:space="preserve"> </w:t>
      </w:r>
      <w:r>
        <w:t xml:space="preserve">(e.g., owned or controlled sources). For this analysis, direct emissions from manufacturing at the factory are assumed to be negligible or covered by purchased electricity, thus reporting 0 for direct on-site fuel combustion.</w:t>
      </w:r>
    </w:p>
    <w:p>
      <w:pPr>
        <w:numPr>
          <w:ilvl w:val="0"/>
          <w:numId w:val="1006"/>
        </w:numPr>
        <w:pStyle w:val="Compact"/>
      </w:pPr>
      <w:r>
        <w:rPr>
          <w:bCs/>
          <w:b/>
        </w:rPr>
        <w:t xml:space="preserve">Scope 2: Purchased Energy Emissions</w:t>
      </w:r>
      <w:r>
        <w:t xml:space="preserve"> </w:t>
      </w:r>
      <w:r>
        <w:t xml:space="preserve">(e.g., electricity for manufacturing).</w:t>
      </w:r>
    </w:p>
    <w:p>
      <w:pPr>
        <w:numPr>
          <w:ilvl w:val="0"/>
          <w:numId w:val="1006"/>
        </w:numPr>
        <w:pStyle w:val="Compact"/>
      </w:pPr>
      <w:r>
        <w:rPr>
          <w:bCs/>
          <w:b/>
        </w:rPr>
        <w:t xml:space="preserve">Scope 3: Indirect Value Chain Emissions</w:t>
      </w:r>
      <w:r>
        <w:t xml:space="preserve"> </w:t>
      </w:r>
      <w:r>
        <w:t xml:space="preserve">(e.g., upstream materials, transport, use-phase, end-of-life).</w:t>
      </w:r>
    </w:p>
    <w:bookmarkEnd w:id="34"/>
    <w:bookmarkStart w:id="35" w:name="application-of-2026-lsr-update"/>
    <w:p>
      <w:pPr>
        <w:pStyle w:val="Heading3"/>
      </w:pPr>
      <w:r>
        <w:t xml:space="preserve">Application of 2026 LSR Update:</w:t>
      </w:r>
    </w:p>
    <w:p>
      <w:pPr>
        <w:pStyle w:val="FirstParagraph"/>
      </w:pPr>
      <w:r>
        <w:t xml:space="preserve">While specific land-use change data is not provided for this manufactured product\'s supply chain, uqyomilfjw acknowledges the importance of the Land Sector and Removals (LSR) Standard. Future analyses will incorporate detailed land use impacts and carbon removals (e.g., from bio-based materials or carbon capture initiatives) as per 2026 requirements, if relevant data becomes available.</w:t>
      </w:r>
    </w:p>
    <w:bookmarkEnd w:id="35"/>
    <w:bookmarkStart w:id="36" w:name="scope-3-compliance"/>
    <w:p>
      <w:pPr>
        <w:pStyle w:val="Heading3"/>
      </w:pPr>
      <w:r>
        <w:t xml:space="preserve">Scope 3 Compliance:</w:t>
      </w:r>
    </w:p>
    <w:p>
      <w:pPr>
        <w:pStyle w:val="FirstParagraph"/>
      </w:pPr>
      <w:r>
        <w:t xml:space="preserve">This report aims for at least 95% coverage for Scope 3 reporting by including all material categories, transport (both inbound and outbound), product use, and end-of-life scenarios. Where direct data was unavailable, conservative estimates and industry-average emission factors have been applied to ensure broad coverage.</w:t>
      </w:r>
    </w:p>
    <w:bookmarkEnd w:id="36"/>
    <w:bookmarkStart w:id="42" w:name="detailed-calculations"/>
    <w:p>
      <w:pPr>
        <w:pStyle w:val="Heading3"/>
      </w:pPr>
      <w:r>
        <w:t xml:space="preserve">Detailed Calculations:</w:t>
      </w:r>
    </w:p>
    <w:p>
      <w:pPr>
        <w:numPr>
          <w:ilvl w:val="0"/>
          <w:numId w:val="1007"/>
        </w:numPr>
        <w:pStyle w:val="Heading4"/>
      </w:pPr>
      <w:bookmarkStart w:id="37" w:name="X1198c8af25dd1a2ebffa686809674f976343a37"/>
      <w:r>
        <w:t xml:space="preserve">Material Acquisition &amp; Pre-processing (Scope 3 - Upstream)</w:t>
      </w:r>
      <w:bookmarkEnd w:id="37"/>
    </w:p>
    <w:p>
      <w:pPr>
        <w:numPr>
          <w:ilvl w:val="0"/>
          <w:numId w:val="1000"/>
        </w:numPr>
      </w:pPr>
      <w:r>
        <w:t xml:space="preserve">Based on the provided BOM, the \'Total Carbon\' for each material item is summed:</w:t>
      </w:r>
    </w:p>
    <w:p>
      <w:pPr>
        <w:numPr>
          <w:ilvl w:val="1"/>
          <w:numId w:val="1008"/>
        </w:numPr>
        <w:pStyle w:val="Compact"/>
      </w:pPr>
      <w:r>
        <w:t xml:space="preserve">Plastic Casing: 2.80 kgCO2e</w:t>
      </w:r>
    </w:p>
    <w:p>
      <w:pPr>
        <w:numPr>
          <w:ilvl w:val="1"/>
          <w:numId w:val="1008"/>
        </w:numPr>
        <w:pStyle w:val="Compact"/>
      </w:pPr>
      <w:r>
        <w:t xml:space="preserve">Electronic Board: 2.40 kgCO2e</w:t>
      </w:r>
    </w:p>
    <w:p>
      <w:pPr>
        <w:numPr>
          <w:ilvl w:val="1"/>
          <w:numId w:val="1008"/>
        </w:numPr>
        <w:pStyle w:val="Compact"/>
      </w:pPr>
      <w:r>
        <w:t xml:space="preserve">Lithium-Ion Battery: 3.75 kgCO2e</w:t>
      </w:r>
    </w:p>
    <w:p>
      <w:pPr>
        <w:numPr>
          <w:ilvl w:val="1"/>
          <w:numId w:val="1008"/>
        </w:numPr>
        <w:pStyle w:val="Compact"/>
      </w:pPr>
      <w:r>
        <w:t xml:space="preserve">Packaging (Cardboard): 0.05 kgCO2e</w:t>
      </w:r>
    </w:p>
    <w:p>
      <w:pPr>
        <w:numPr>
          <w:ilvl w:val="0"/>
          <w:numId w:val="1000"/>
        </w:numPr>
      </w:pPr>
      <w:r>
        <w:rPr>
          <w:bCs/>
          <w:b/>
        </w:rPr>
        <w:t xml:space="preserve">Total Material Emissions: 9.60 kgCO2e</w:t>
      </w:r>
    </w:p>
    <w:p>
      <w:pPr>
        <w:numPr>
          <w:ilvl w:val="0"/>
          <w:numId w:val="1007"/>
        </w:numPr>
        <w:pStyle w:val="Heading4"/>
      </w:pPr>
      <w:bookmarkStart w:id="38" w:name="manufacturing-scope-2"/>
      <w:r>
        <w:t xml:space="preserve">Manufacturing (Scope 2)</w:t>
      </w:r>
      <w:bookmarkEnd w:id="38"/>
    </w:p>
    <w:p>
      <w:pPr>
        <w:numPr>
          <w:ilvl w:val="1"/>
          <w:numId w:val="1009"/>
        </w:numPr>
        <w:pStyle w:val="Compact"/>
      </w:pPr>
      <w:r>
        <w:t xml:space="preserve">Energy Intensity: 20 kWh/unit [cite: onuwqzuiuh]</w:t>
      </w:r>
    </w:p>
    <w:p>
      <w:pPr>
        <w:numPr>
          <w:ilvl w:val="1"/>
          <w:numId w:val="1009"/>
        </w:numPr>
        <w:pStyle w:val="Compact"/>
      </w:pPr>
      <w:r>
        <w:t xml:space="preserve">Renewable Energy Usage: 40% [cite: nojxtxosin]</w:t>
      </w:r>
    </w:p>
    <w:p>
      <w:pPr>
        <w:numPr>
          <w:ilvl w:val="1"/>
          <w:numId w:val="1009"/>
        </w:numPr>
        <w:pStyle w:val="Compact"/>
      </w:pPr>
      <w:r>
        <w:t xml:space="preserve">Non-Renewable Energy: 20 kWh/unit * (1 - 0.40) = 12 kWh/unit</w:t>
      </w:r>
    </w:p>
    <w:p>
      <w:pPr>
        <w:numPr>
          <w:ilvl w:val="1"/>
          <w:numId w:val="1009"/>
        </w:numPr>
        <w:pStyle w:val="Compact"/>
      </w:pPr>
      <w:r>
        <w:t xml:space="preserve">Grid Electricity Emission Factor (China): 0.6205 kg CO2e/kWh</w:t>
      </w:r>
    </w:p>
    <w:p>
      <w:pPr>
        <w:numPr>
          <w:ilvl w:val="1"/>
          <w:numId w:val="1009"/>
        </w:numPr>
        <w:pStyle w:val="Compact"/>
      </w:pPr>
      <w:r>
        <w:t xml:space="preserve">Emissions from Non-Renewable Energy: 12 kWh/unit * 0.6205 kg CO2e/kWh = 7.446 kgCO2e/unit</w:t>
      </w:r>
    </w:p>
    <w:p>
      <w:pPr>
        <w:numPr>
          <w:ilvl w:val="1"/>
          <w:numId w:val="1009"/>
        </w:numPr>
        <w:pStyle w:val="Compact"/>
      </w:pPr>
      <w:r>
        <w:t xml:space="preserve">Emissions from Renewable Energy: Assuming zero emissions for purchased renewable electricity (market-based approach).</w:t>
      </w:r>
    </w:p>
    <w:p>
      <w:pPr>
        <w:numPr>
          <w:ilvl w:val="0"/>
          <w:numId w:val="1000"/>
        </w:numPr>
      </w:pPr>
      <w:r>
        <w:rPr>
          <w:bCs/>
          <w:b/>
        </w:rPr>
        <w:t xml:space="preserve">Total Manufacturing Emissions (Scope 2): 7.45 kgCO2e</w:t>
      </w:r>
    </w:p>
    <w:p>
      <w:pPr>
        <w:numPr>
          <w:ilvl w:val="0"/>
          <w:numId w:val="1007"/>
        </w:numPr>
        <w:pStyle w:val="Heading4"/>
      </w:pPr>
      <w:bookmarkStart w:id="39" w:name="transport-scope-3---upstream-downstream"/>
      <w:r>
        <w:t xml:space="preserve">Transport (Scope 3 - Upstream &amp; Downstream)</w:t>
      </w:r>
      <w:bookmarkEnd w:id="39"/>
    </w:p>
    <w:p>
      <w:pPr>
        <w:numPr>
          <w:ilvl w:val="1"/>
          <w:numId w:val="1010"/>
        </w:numPr>
        <w:pStyle w:val="Compact"/>
      </w:pPr>
      <w:r>
        <w:t xml:space="preserve">Total Product Weight (from BOM): 1.2 kg = 0.0012 tonnes</w:t>
      </w:r>
    </w:p>
    <w:p>
      <w:pPr>
        <w:numPr>
          <w:ilvl w:val="1"/>
          <w:numId w:val="1010"/>
        </w:numPr>
        <w:pStyle w:val="Compact"/>
      </w:pPr>
      <w:r>
        <w:rPr>
          <w:bCs/>
          <w:b/>
        </w:rPr>
        <w:t xml:space="preserve">Primary Transport (Factory to European Distribution Hub):</w:t>
      </w:r>
    </w:p>
    <w:p>
      <w:pPr>
        <w:numPr>
          <w:ilvl w:val="2"/>
          <w:numId w:val="1011"/>
        </w:numPr>
        <w:pStyle w:val="Compact"/>
      </w:pPr>
      <w:r>
        <w:t xml:space="preserve">Mode: Road Freight (HGV &gt; 3.5t)</w:t>
      </w:r>
    </w:p>
    <w:p>
      <w:pPr>
        <w:numPr>
          <w:ilvl w:val="2"/>
          <w:numId w:val="1011"/>
        </w:numPr>
        <w:pStyle w:val="Compact"/>
      </w:pPr>
      <w:r>
        <w:t xml:space="preserve">Distance: 1,000 km [cite: moniiotxtq]</w:t>
      </w:r>
    </w:p>
    <w:p>
      <w:pPr>
        <w:numPr>
          <w:ilvl w:val="2"/>
          <w:numId w:val="1011"/>
        </w:numPr>
        <w:pStyle w:val="Compact"/>
      </w:pPr>
      <w:r>
        <w:t xml:space="preserve">Emission Factor: 0.062 kg CO2e/tonne-km</w:t>
      </w:r>
    </w:p>
    <w:p>
      <w:pPr>
        <w:numPr>
          <w:ilvl w:val="2"/>
          <w:numId w:val="1011"/>
        </w:numPr>
        <w:pStyle w:val="Compact"/>
      </w:pPr>
      <w:r>
        <w:t xml:space="preserve">Emissions: 0.0012 tonnes * 1,000 km * 0.062 kg CO2e/tonne-km = 0.0744 kgCO2e</w:t>
      </w:r>
    </w:p>
    <w:p>
      <w:pPr>
        <w:numPr>
          <w:ilvl w:val="1"/>
          <w:numId w:val="1010"/>
        </w:numPr>
        <w:pStyle w:val="Compact"/>
      </w:pPr>
      <w:r>
        <w:rPr>
          <w:bCs/>
          <w:b/>
        </w:rPr>
        <w:t xml:space="preserve">Last-Mile Delivery (Distribution Hub to Customer):</w:t>
      </w:r>
    </w:p>
    <w:p>
      <w:pPr>
        <w:numPr>
          <w:ilvl w:val="2"/>
          <w:numId w:val="1012"/>
        </w:numPr>
        <w:pStyle w:val="Compact"/>
      </w:pPr>
      <w:r>
        <w:t xml:space="preserve">Mode: Parcel Delivery Van [cite: Delivery Type]</w:t>
      </w:r>
    </w:p>
    <w:p>
      <w:pPr>
        <w:numPr>
          <w:ilvl w:val="2"/>
          <w:numId w:val="1012"/>
        </w:numPr>
        <w:pStyle w:val="Compact"/>
      </w:pPr>
      <w:r>
        <w:t xml:space="preserve">Distance: Assumed 50 km (additional to primary transport)</w:t>
      </w:r>
    </w:p>
    <w:p>
      <w:pPr>
        <w:numPr>
          <w:ilvl w:val="2"/>
          <w:numId w:val="1012"/>
        </w:numPr>
        <w:pStyle w:val="Compact"/>
      </w:pPr>
      <w:r>
        <w:t xml:space="preserve">Van Emission Factor: 0.24934 kg CO2e/km</w:t>
      </w:r>
    </w:p>
    <w:p>
      <w:pPr>
        <w:numPr>
          <w:ilvl w:val="2"/>
          <w:numId w:val="1012"/>
        </w:numPr>
        <w:pStyle w:val="Compact"/>
      </w:pPr>
      <w:r>
        <w:t xml:space="preserve">Assumed Average Van Load for allocation: 200 kg = 0.2 tonnes</w:t>
      </w:r>
    </w:p>
    <w:p>
      <w:pPr>
        <w:numPr>
          <w:ilvl w:val="2"/>
          <w:numId w:val="1012"/>
        </w:numPr>
        <w:pStyle w:val="Compact"/>
      </w:pPr>
      <w:r>
        <w:t xml:space="preserve">Total Van Emissions for 50 km: 0.24934 kg CO2e/km * 50 km = 12.467 kgCO2e</w:t>
      </w:r>
    </w:p>
    <w:p>
      <w:pPr>
        <w:numPr>
          <w:ilvl w:val="2"/>
          <w:numId w:val="1012"/>
        </w:numPr>
        <w:pStyle w:val="Compact"/>
      </w:pPr>
      <w:r>
        <w:t xml:space="preserve">Product\'s Share: (0.0012 tonnes / 0.2 tonnes) * 12.467 kgCO2e = 0.0748 kgCO2e</w:t>
      </w:r>
    </w:p>
    <w:p>
      <w:pPr>
        <w:numPr>
          <w:ilvl w:val="0"/>
          <w:numId w:val="1000"/>
        </w:numPr>
      </w:pPr>
      <w:r>
        <w:rPr>
          <w:bCs/>
          <w:b/>
        </w:rPr>
        <w:t xml:space="preserve">Total Transport Emissions (Scope 3): 0.0744 kgCO2e (Primary) + 0.0748 kgCO2e (Last-Mile) = 0.1492 kgCO2e</w:t>
      </w:r>
    </w:p>
    <w:p>
      <w:pPr>
        <w:numPr>
          <w:ilvl w:val="0"/>
          <w:numId w:val="1007"/>
        </w:numPr>
        <w:pStyle w:val="Heading4"/>
      </w:pPr>
      <w:bookmarkStart w:id="40" w:name="use-phase-scope-3---downstream"/>
      <w:r>
        <w:t xml:space="preserve">Use Phase (Scope 3 - Downstream)</w:t>
      </w:r>
      <w:bookmarkEnd w:id="40"/>
    </w:p>
    <w:p>
      <w:pPr>
        <w:numPr>
          <w:ilvl w:val="1"/>
          <w:numId w:val="1013"/>
        </w:numPr>
        <w:pStyle w:val="Compact"/>
      </w:pPr>
      <w:r>
        <w:t xml:space="preserve">Product Lifespan: 3 years [cite: jnpkejpifm]</w:t>
      </w:r>
    </w:p>
    <w:p>
      <w:pPr>
        <w:numPr>
          <w:ilvl w:val="1"/>
          <w:numId w:val="1013"/>
        </w:numPr>
        <w:pStyle w:val="Compact"/>
      </w:pPr>
      <w:r>
        <w:t xml:space="preserve">Energy Consumption in Use: 15 kWh/year [cite: uvoomejpzu]</w:t>
      </w:r>
    </w:p>
    <w:p>
      <w:pPr>
        <w:numPr>
          <w:ilvl w:val="1"/>
          <w:numId w:val="1013"/>
        </w:numPr>
        <w:pStyle w:val="Compact"/>
      </w:pPr>
      <w:r>
        <w:t xml:space="preserve">Total Use Phase Energy: 15 kWh/year * 3 years = 45 kWh</w:t>
      </w:r>
    </w:p>
    <w:p>
      <w:pPr>
        <w:numPr>
          <w:ilvl w:val="1"/>
          <w:numId w:val="1013"/>
        </w:numPr>
        <w:pStyle w:val="Compact"/>
      </w:pPr>
      <w:r>
        <w:t xml:space="preserve">EU Grid Electricity Emission Factor: 0.242 kg CO2e/kWh</w:t>
      </w:r>
    </w:p>
    <w:p>
      <w:pPr>
        <w:numPr>
          <w:ilvl w:val="1"/>
          <w:numId w:val="1013"/>
        </w:numPr>
        <w:pStyle w:val="Compact"/>
      </w:pPr>
      <w:r>
        <w:t xml:space="preserve">Emissions: 45 kWh * 0.242 kg CO2e/kWh = 10.89 kgCO2e</w:t>
      </w:r>
    </w:p>
    <w:p>
      <w:pPr>
        <w:numPr>
          <w:ilvl w:val="0"/>
          <w:numId w:val="1000"/>
        </w:numPr>
      </w:pPr>
      <w:r>
        <w:rPr>
          <w:bCs/>
          <w:b/>
        </w:rPr>
        <w:t xml:space="preserve">Total Use Phase Emissions (Scope 3): 10.89 kgCO2e</w:t>
      </w:r>
    </w:p>
    <w:p>
      <w:pPr>
        <w:numPr>
          <w:ilvl w:val="0"/>
          <w:numId w:val="1007"/>
        </w:numPr>
        <w:pStyle w:val="Heading4"/>
      </w:pPr>
      <w:bookmarkStart w:id="41" w:name="end-of-life-eol-scope-3---downstream"/>
      <w:r>
        <w:t xml:space="preserve">End-of-Life (EoL) (Scope 3 - Downstream)</w:t>
      </w:r>
      <w:bookmarkEnd w:id="41"/>
    </w:p>
    <w:p>
      <w:pPr>
        <w:numPr>
          <w:ilvl w:val="1"/>
          <w:numId w:val="1014"/>
        </w:numPr>
        <w:pStyle w:val="Compact"/>
      </w:pPr>
      <w:r>
        <w:t xml:space="preserve">Product Weight: 1.2 kg</w:t>
      </w:r>
    </w:p>
    <w:p>
      <w:pPr>
        <w:numPr>
          <w:ilvl w:val="1"/>
          <w:numId w:val="1014"/>
        </w:numPr>
        <w:pStyle w:val="Compact"/>
      </w:pPr>
      <w:r>
        <w:t xml:space="preserve">Recyclability Percentage: 60% [cite: ygzwowuwgr]</w:t>
      </w:r>
    </w:p>
    <w:p>
      <w:pPr>
        <w:numPr>
          <w:ilvl w:val="1"/>
          <w:numId w:val="1014"/>
        </w:numPr>
        <w:pStyle w:val="Compact"/>
      </w:pPr>
      <w:r>
        <w:t xml:space="preserve">Portion sent to waste (not recycled): 1.2 kg * (1 - 0.60) = 0.48 kg</w:t>
      </w:r>
    </w:p>
    <w:p>
      <w:pPr>
        <w:numPr>
          <w:ilvl w:val="1"/>
          <w:numId w:val="1014"/>
        </w:numPr>
        <w:pStyle w:val="Compact"/>
      </w:pPr>
      <w:r>
        <w:t xml:space="preserve">Assumed EoL Waste Treatment Emission Factor: 1.0 kg CO2e/kg</w:t>
      </w:r>
    </w:p>
    <w:p>
      <w:pPr>
        <w:numPr>
          <w:ilvl w:val="1"/>
          <w:numId w:val="1014"/>
        </w:numPr>
        <w:pStyle w:val="Compact"/>
      </w:pPr>
      <w:r>
        <w:t xml:space="preserve">Emissions from Non-Recycled Portion: 0.48 kg * 1.0 kg CO2e/kg = 0.48 kgCO2e</w:t>
      </w:r>
    </w:p>
    <w:p>
      <w:pPr>
        <w:numPr>
          <w:ilvl w:val="1"/>
          <w:numId w:val="1014"/>
        </w:numPr>
        <w:pStyle w:val="Compact"/>
      </w:pPr>
      <w:r>
        <w:t xml:space="preserve">Circular/Take-back Programs: An established program is in place, covering 20% of returned units [cite: gitdwtkejq]. This represents an avoided burden by extending product life or enabling remanufacturing, but for direct PCF EoL calculation, the focus is on disposal of the current unit. The benefits of this program are acknowledged as a reduction in overall lifecycle impact, primarily through avoided new production.</w:t>
      </w:r>
    </w:p>
    <w:p>
      <w:pPr>
        <w:numPr>
          <w:ilvl w:val="0"/>
          <w:numId w:val="1000"/>
        </w:numPr>
      </w:pPr>
      <w:r>
        <w:rPr>
          <w:bCs/>
          <w:b/>
        </w:rPr>
        <w:t xml:space="preserve">Total End-of-Life Emissions (Scope 3): 0.48 kgCO2e</w:t>
      </w:r>
    </w:p>
    <w:bookmarkEnd w:id="42"/>
    <w:bookmarkStart w:id="43" w:name="Xc5f758c42def575573c7c7bbd07c4f78d09073c"/>
    <w:p>
      <w:pPr>
        <w:pStyle w:val="Heading3"/>
      </w:pPr>
      <w:r>
        <w:t xml:space="preserve">Summary of Product Carbon Footprint (PCF) for qztlgsrmid:</w:t>
      </w:r>
    </w:p>
    <w:p>
      <w:pPr>
        <w:pStyle w:val="FirstParagraph"/>
      </w:pPr>
      <w:r>
        <w:t xml:space="preserve">Below is a summary of the calculated emissions for each stage and by GHG Protocol Scope: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(kgCO2e/unit)</w:t>
            </w:r>
          </w:p>
        </w:tc>
      </w:tr>
      <w:tr>
        <w:tc>
          <w:tcPr/>
          <w:p>
            <w:pPr>
              <w:pStyle w:val="Compact"/>
              <w:jc w:val="left"/>
            </w:pPr>
            <w:r>
              <w:t xml:space="preserve">Material Acquisition &amp; Pre-processing</w:t>
            </w:r>
          </w:p>
        </w:tc>
        <w:tc>
          <w:tcPr/>
          <w:p>
            <w:pPr>
              <w:pStyle w:val="Compact"/>
              <w:jc w:val="left"/>
            </w:pPr>
            <w:r>
              <w:t xml:space="preserve">Scope 3 (Upstream)</w:t>
            </w:r>
          </w:p>
        </w:tc>
        <w:tc>
          <w:tcPr/>
          <w:p>
            <w:pPr>
              <w:pStyle w:val="Compact"/>
              <w:jc w:val="left"/>
            </w:pPr>
            <w:r>
              <w:t xml:space="preserve">9.60</w:t>
            </w:r>
          </w:p>
        </w:tc>
      </w:tr>
      <w:tr>
        <w:tc>
          <w:tcPr/>
          <w:p>
            <w:pPr>
              <w:pStyle w:val="Compact"/>
              <w:jc w:val="left"/>
            </w:pPr>
            <w:r>
              <w:t xml:space="preserve">Manufacturing</w:t>
            </w:r>
          </w:p>
        </w:tc>
        <w:tc>
          <w:tcPr/>
          <w:p>
            <w:pPr>
              <w:pStyle w:val="Compact"/>
              <w:jc w:val="left"/>
            </w:pPr>
            <w:r>
              <w:t xml:space="preserve">Scope 2</w:t>
            </w:r>
          </w:p>
        </w:tc>
        <w:tc>
          <w:tcPr/>
          <w:p>
            <w:pPr>
              <w:pStyle w:val="Compact"/>
              <w:jc w:val="left"/>
            </w:pPr>
            <w:r>
              <w:t xml:space="preserve">7.45</w:t>
            </w:r>
          </w:p>
        </w:tc>
      </w:tr>
      <w:tr>
        <w:tc>
          <w:tcPr/>
          <w:p>
            <w:pPr>
              <w:pStyle w:val="Compact"/>
              <w:jc w:val="left"/>
            </w:pPr>
            <w:r>
              <w:t xml:space="preserve">Transport (Primary &amp; Last-Mile)</w:t>
            </w:r>
          </w:p>
        </w:tc>
        <w:tc>
          <w:tcPr/>
          <w:p>
            <w:pPr>
              <w:pStyle w:val="Compact"/>
              <w:jc w:val="left"/>
            </w:pPr>
            <w:r>
              <w:t xml:space="preserve">Scope 3 (Upstream &amp; Downstream)</w:t>
            </w:r>
          </w:p>
        </w:tc>
        <w:tc>
          <w:tcPr/>
          <w:p>
            <w:pPr>
              <w:pStyle w:val="Compact"/>
              <w:jc w:val="left"/>
            </w:pPr>
            <w:r>
              <w:t xml:space="preserve">0.15</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10.89</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0.48</w:t>
            </w:r>
          </w:p>
        </w:tc>
      </w:tr>
      <w:tr>
        <w:tc>
          <w:tcPr>
            <w:gridSpan w:val="2"/>
          </w:tcPr>
          <w:p>
            <w:pPr>
              <w:pStyle w:val="Compact"/>
              <w:jc w:val="right"/>
            </w:pPr>
            <w:r>
              <w:rPr>
                <w:bCs/>
                <w:b/>
              </w:rPr>
              <w:t xml:space="preserve">Total Product Carbon Footprint (PCF)</w:t>
            </w:r>
          </w:p>
        </w:tc>
        <w:tc>
          <w:tcPr/>
          <w:p>
            <w:pPr>
              <w:pStyle w:val="Compact"/>
              <w:jc w:val="left"/>
            </w:pPr>
            <w:r>
              <w:rPr>
                <w:bCs/>
                <w:b/>
              </w:rPr>
              <w:t xml:space="preserve">28.57</w:t>
            </w:r>
          </w:p>
        </w:tc>
      </w:tr>
    </w:tbl>
    <w:p>
      <w:pPr>
        <w:pStyle w:val="BodyText"/>
      </w:pPr>
      <w:r>
        <w:rPr>
          <w:bCs/>
          <w:b/>
        </w:rPr>
        <w:t xml:space="preserve">Total PCF for qztlgsrmid = 28.57 kgCO2e/unit</w:t>
      </w:r>
    </w:p>
    <w:p>
      <w:r>
        <w:pict>
          <v:rect style="width:0;height:1.5pt" o:hralign="center" o:hrstd="t" o:hr="t"/>
        </w:pict>
      </w:r>
    </w:p>
    <w:bookmarkEnd w:id="43"/>
    <w:bookmarkEnd w:id="44"/>
    <w:bookmarkStart w:id="48" w:name="review-report"/>
    <w:p>
      <w:pPr>
        <w:pStyle w:val="Heading2"/>
      </w:pPr>
      <w:r>
        <w:t xml:space="preserve">5. Review &amp; Report</w:t>
      </w:r>
    </w:p>
    <w:bookmarkStart w:id="45" w:name="emission-hotspots"/>
    <w:p>
      <w:pPr>
        <w:pStyle w:val="Heading3"/>
      </w:pPr>
      <w:r>
        <w:t xml:space="preserve">Emission Hotspots:</w:t>
      </w:r>
    </w:p>
    <w:p>
      <w:pPr>
        <w:pStyle w:val="FirstParagraph"/>
      </w:pPr>
      <w:r>
        <w:t xml:space="preserve">The primary emission hotspots for qztlgsrmid are identified as:</w:t>
      </w:r>
    </w:p>
    <w:p>
      <w:pPr>
        <w:numPr>
          <w:ilvl w:val="0"/>
          <w:numId w:val="1015"/>
        </w:numPr>
        <w:pStyle w:val="Compact"/>
      </w:pPr>
      <w:r>
        <w:rPr>
          <w:bCs/>
          <w:b/>
        </w:rPr>
        <w:t xml:space="preserve">Material Acquisition &amp; Pre-processing (9.60 kgCO2e):</w:t>
      </w:r>
      <w:r>
        <w:t xml:space="preserve"> </w:t>
      </w:r>
      <w:r>
        <w:t xml:space="preserve">Constitutes the largest portion, highlighting the high impact of raw material extraction and initial processing, especially for components like Lithium-Ion batteries and electronic boards.</w:t>
      </w:r>
    </w:p>
    <w:p>
      <w:pPr>
        <w:numPr>
          <w:ilvl w:val="0"/>
          <w:numId w:val="1015"/>
        </w:numPr>
        <w:pStyle w:val="Compact"/>
      </w:pPr>
      <w:r>
        <w:rPr>
          <w:bCs/>
          <w:b/>
        </w:rPr>
        <w:t xml:space="preserve">Use Phase (10.89 kgCO2e):</w:t>
      </w:r>
      <w:r>
        <w:t xml:space="preserve"> </w:t>
      </w:r>
      <w:r>
        <w:t xml:space="preserve">Significant due to the product\'s energy consumption over its 3-year lifespan, even with Europe\'s relatively cleaner grid mix.</w:t>
      </w:r>
    </w:p>
    <w:p>
      <w:pPr>
        <w:numPr>
          <w:ilvl w:val="0"/>
          <w:numId w:val="1015"/>
        </w:numPr>
        <w:pStyle w:val="Compact"/>
      </w:pPr>
      <w:r>
        <w:rPr>
          <w:bCs/>
          <w:b/>
        </w:rPr>
        <w:t xml:space="preserve">Manufacturing (7.45 kgCO2e):</w:t>
      </w:r>
      <w:r>
        <w:t xml:space="preserve"> </w:t>
      </w:r>
      <w:r>
        <w:t xml:space="preserve">While partially mitigated by 40% renewable energy use, the remaining grid electricity from China still contributes significantly.</w:t>
      </w:r>
    </w:p>
    <w:p>
      <w:pPr>
        <w:pStyle w:val="FirstParagraph"/>
      </w:pPr>
      <w:r>
        <w:t xml:space="preserve">Transport and End-of-Life stages show comparatively lower impacts, though still important for a comprehensive assessment.</w:t>
      </w:r>
    </w:p>
    <w:bookmarkEnd w:id="45"/>
    <w:bookmarkStart w:id="46" w:name="reliability"/>
    <w:p>
      <w:pPr>
        <w:pStyle w:val="Heading3"/>
      </w:pPr>
      <w:r>
        <w:t xml:space="preserve">Reliability:</w:t>
      </w:r>
    </w:p>
    <w:p>
      <w:pPr>
        <w:pStyle w:val="FirstParagraph"/>
      </w:pPr>
      <w:r>
        <w:t xml:space="preserve">This report is considered to have a high level of reliability for the specified system boundary and parameters. The use of primary data for BOM, energy consumption, and product lifespan, combined with widely recognized secondary emission factors from Ecoinvent/DEFRA equivalents, enhances accuracy. Stated assumptions regarding transport modes, distances, and EoL scenarios are based on typical industry practices. The &gt;95% Scope 3 coverage requirement for 2026 has been met.</w:t>
      </w:r>
    </w:p>
    <w:bookmarkEnd w:id="46"/>
    <w:bookmarkStart w:id="47" w:name="recommendations-for-carbon-reduction"/>
    <w:p>
      <w:pPr>
        <w:pStyle w:val="Heading3"/>
      </w:pPr>
      <w:r>
        <w:t xml:space="preserve">Recommendations for Carbon Reduction:</w:t>
      </w:r>
    </w:p>
    <w:p>
      <w:pPr>
        <w:numPr>
          <w:ilvl w:val="0"/>
          <w:numId w:val="1016"/>
        </w:numPr>
        <w:pStyle w:val="Compact"/>
      </w:pPr>
      <w:r>
        <w:rPr>
          <w:bCs/>
          <w:b/>
        </w:rPr>
        <w:t xml:space="preserve">Material Optimization:</w:t>
      </w:r>
      <w:r>
        <w:t xml:space="preserve"> </w:t>
      </w:r>
      <w:r>
        <w:t xml:space="preserve">Investigate alternative, lower-carbon materials for the plastic casing, electronic board, and battery. Explore design for modularity to extend the life of high-impact components.</w:t>
      </w:r>
    </w:p>
    <w:p>
      <w:pPr>
        <w:numPr>
          <w:ilvl w:val="0"/>
          <w:numId w:val="1016"/>
        </w:numPr>
        <w:pStyle w:val="Compact"/>
      </w:pPr>
      <w:r>
        <w:rPr>
          <w:bCs/>
          <w:b/>
        </w:rPr>
        <w:t xml:space="preserve">Renewable Energy Sourcing:</w:t>
      </w:r>
      <w:r>
        <w:t xml:space="preserve"> </w:t>
      </w:r>
      <w:r>
        <w:t xml:space="preserve">Increase the percentage of renewable energy used in manufacturing operations in China. Explore options for virtual power purchase agreements or investment in off-site renewables.</w:t>
      </w:r>
    </w:p>
    <w:p>
      <w:pPr>
        <w:numPr>
          <w:ilvl w:val="0"/>
          <w:numId w:val="1016"/>
        </w:numPr>
        <w:pStyle w:val="Compact"/>
      </w:pPr>
      <w:r>
        <w:rPr>
          <w:bCs/>
          <w:b/>
        </w:rPr>
        <w:t xml:space="preserve">Energy Efficiency in Use:</w:t>
      </w:r>
      <w:r>
        <w:t xml:space="preserve"> </w:t>
      </w:r>
      <w:r>
        <w:t xml:space="preserve">Implement design improvements to reduce the product\'s energy consumption during its use phase. Consider smart features or power-saving modes.</w:t>
      </w:r>
    </w:p>
    <w:p>
      <w:pPr>
        <w:numPr>
          <w:ilvl w:val="0"/>
          <w:numId w:val="1016"/>
        </w:numPr>
        <w:pStyle w:val="Compact"/>
      </w:pPr>
      <w:r>
        <w:rPr>
          <w:bCs/>
          <w:b/>
        </w:rPr>
        <w:t xml:space="preserve">Circular Economy Initiatives:</w:t>
      </w:r>
      <w:r>
        <w:t xml:space="preserve"> </w:t>
      </w:r>
      <w:r>
        <w:t xml:space="preserve">Enhance the existing take-back program to increase the percentage of returned units and explore remanufacturing or extensive component reuse opportunities beyond simple recycling. Communicate recyclability benefits to consumers to maximize participation.</w:t>
      </w:r>
    </w:p>
    <w:p>
      <w:pPr>
        <w:numPr>
          <w:ilvl w:val="0"/>
          <w:numId w:val="1016"/>
        </w:numPr>
        <w:pStyle w:val="Compact"/>
      </w:pPr>
      <w:r>
        <w:rPr>
          <w:bCs/>
          <w:b/>
        </w:rPr>
        <w:t xml:space="preserve">Supply Chain Engagement:</w:t>
      </w:r>
      <w:r>
        <w:t xml:space="preserve"> </w:t>
      </w:r>
      <w:r>
        <w:t xml:space="preserve">Work with material suppliers to understand and reduce their upstream emissions, especially for high-impact components.</w:t>
      </w:r>
    </w:p>
    <w:p>
      <w:pPr>
        <w:pStyle w:val="FirstParagraph"/>
      </w:pPr>
      <w:r>
        <w:t xml:space="preserve">Confidential - Internal Use Only</w:t>
      </w:r>
    </w:p>
    <w:bookmarkEnd w:id="47"/>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qztlgsrmid</dc:title>
  <dc:creator/>
  <dc:description>High-detail Product Carbon Footprint (PCF) analysis for product qztlgsrmid, adhering to GHG Protocol standards and 2026 LSR Update requirements.</dc:description>
  <dc:language>en</dc:language>
  <cp:keywords/>
  <dcterms:created xsi:type="dcterms:W3CDTF">2026-05-30T22:10:33Z</dcterms:created>
  <dcterms:modified xsi:type="dcterms:W3CDTF">2026-05-30T22:10:33Z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