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qyfipdxpdl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qyfipdxpdl</w:t>
      </w:r>
    </w:p>
    <w:p>
      <w:pPr>
        <w:pStyle w:val="BodyText"/>
      </w:pPr>
      <w:r>
        <w:rPr>
          <w:bCs/>
          <w:b/>
        </w:rPr>
        <w:t xml:space="preserve">Company:</w:t>
      </w:r>
      <w:r>
        <w:t xml:space="preserve"> </w:t>
      </w:r>
      <w:r>
        <w:t xml:space="preserve">kfdqyqhdef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mpoeohyofk</w:t>
      </w:r>
    </w:p>
    <w:p>
      <w:pPr>
        <w:pStyle w:val="BodyText"/>
      </w:pPr>
      <w:r>
        <w:t xml:space="preserve">Disclaimer: This report is generated based on available data and industry standards. While every effort has been made to ensure accuracy, specific values may vary based on real-world conditions and further granular data.</w:t>
      </w:r>
    </w:p>
    <w:bookmarkEnd w:id="20"/>
    <w:bookmarkStart w:id="21" w:name="X3ef41cf5d00a1eb32f2cf604b8180c64d1075eb"/>
    <w:p>
      <w:pPr>
        <w:pStyle w:val="Heading1"/>
      </w:pPr>
      <w:r>
        <w:t xml:space="preserve">Product Carbon Footprint Report: qyfipdxpdl</w:t>
      </w:r>
    </w:p>
    <w:p>
      <w:pPr>
        <w:pStyle w:val="FirstParagraph"/>
      </w:pPr>
      <w:r>
        <w:rPr>
          <w:bCs/>
          <w:b/>
        </w:rPr>
        <w:t xml:space="preserve">Generated Date:</w:t>
      </w:r>
      <w:r>
        <w:t xml:space="preserve"> </w:t>
      </w:r>
      <w:r>
        <w:t xml:space="preserve">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"qyfipdxpdl" manufactured by kfdqyqhdef. Conducted by mpoeohyofk, Senior Sustainability Consultant, this analysis adheres to the GHG Protocol, aiming for robust and transparent emission quantification. The assessment covers the product\'s lifecycle from raw material acquisition (cradle-to-gate) through the use phase and end-of-life scenarios, providing insights into major emission hotspots and opportunities for reduction. This analysis also considers the 2026 Land Sector and Removals (LSR) Standard updates and targets at least 95% Scope 3 coverage.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"qyfipdxpdl" follows the five-step methodology as outlined below, strictly adhering to the Greenhouse Gas (GHG) Protocol standards.</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qyfipdxpdl</w:t>
      </w:r>
      <w:r>
        <w:t xml:space="preserve">. This unit serves as the reference flow for quantifying all inputs and outputs throughout the product lifecycle.</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analysis is set as</w:t>
      </w:r>
      <w:r>
        <w:t xml:space="preserve"> </w:t>
      </w:r>
      <w:r>
        <w:rPr>
          <w:bCs/>
          <w:b/>
        </w:rPr>
        <w:t xml:space="preserve">"factory_gate"</w:t>
      </w:r>
      <w:r>
        <w:t xml:space="preserve">, extended to include the use phase and end-of-life impacts for a comprehensive cradle-to-grave assessment.</w:t>
      </w:r>
    </w:p>
    <w:p>
      <w:pPr>
        <w:numPr>
          <w:ilvl w:val="0"/>
          <w:numId w:val="1002"/>
        </w:numPr>
        <w:pStyle w:val="Compact"/>
      </w:pPr>
      <w:r>
        <w:t xml:space="preserve">Emissions are categorized into:</w:t>
      </w:r>
    </w:p>
    <w:p>
      <w:pPr>
        <w:numPr>
          <w:ilvl w:val="1"/>
          <w:numId w:val="1003"/>
        </w:numPr>
        <w:pStyle w:val="Compact"/>
      </w:pPr>
      <w:r>
        <w:rPr>
          <w:bCs/>
          <w:b/>
        </w:rPr>
        <w:t xml:space="preserve">Scope 1:</w:t>
      </w:r>
      <w:r>
        <w:t xml:space="preserve"> </w:t>
      </w:r>
      <w:r>
        <w:t xml:space="preserve">Direct emissions from owned or controlled sources.</w:t>
      </w:r>
    </w:p>
    <w:p>
      <w:pPr>
        <w:numPr>
          <w:ilvl w:val="1"/>
          <w:numId w:val="1003"/>
        </w:numPr>
        <w:pStyle w:val="Compact"/>
      </w:pPr>
      <w:r>
        <w:rPr>
          <w:bCs/>
          <w:b/>
        </w:rPr>
        <w:t xml:space="preserve">Scope 2:</w:t>
      </w:r>
      <w:r>
        <w:t xml:space="preserve"> </w:t>
      </w:r>
      <w:r>
        <w:t xml:space="preserve">Indirect emissions from the generation of purchased energy.</w:t>
      </w:r>
    </w:p>
    <w:p>
      <w:pPr>
        <w:numPr>
          <w:ilvl w:val="1"/>
          <w:numId w:val="1003"/>
        </w:numPr>
        <w:pStyle w:val="Compact"/>
      </w:pPr>
      <w:r>
        <w:rPr>
          <w:bCs/>
          <w:b/>
        </w:rPr>
        <w:t xml:space="preserve">Scope 3:</w:t>
      </w:r>
      <w:r>
        <w:t xml:space="preserve"> </w:t>
      </w:r>
      <w:r>
        <w:t xml:space="preserve">All other indirect emissions that occur in the value chain of the reporting company, both upstream and downstream. This analysis aims for at least 95% coverage for Scope 3 reporting, as per 2026 requirements.</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numPr>
          <w:ilvl w:val="0"/>
          <w:numId w:val="1004"/>
        </w:numPr>
        <w:pStyle w:val="Compact"/>
      </w:pPr>
      <w:r>
        <w:t xml:space="preserve">This dual focus dictates the selection of relevant emission factors for production (China) and transport/use phase (Europe/global averages where specific regional data is unavailable).</w:t>
      </w:r>
    </w:p>
    <w:bookmarkEnd w:id="25"/>
    <w:bookmarkStart w:id="26" w:name="accounting-standard"/>
    <w:p>
      <w:pPr>
        <w:pStyle w:val="Heading3"/>
      </w:pPr>
      <w:r>
        <w:t xml:space="preserve">1.4 Accounting Standard</w:t>
      </w:r>
    </w:p>
    <w:p>
      <w:pPr>
        <w:numPr>
          <w:ilvl w:val="0"/>
          <w:numId w:val="1005"/>
        </w:numPr>
        <w:pStyle w:val="Compact"/>
      </w:pPr>
      <w:r>
        <w:t xml:space="preserve">This PCF analysis is conducted in accordance with the</w:t>
      </w:r>
      <w:r>
        <w:t xml:space="preserve"> </w:t>
      </w:r>
      <w:r>
        <w:rPr>
          <w:bCs/>
          <w:b/>
        </w:rPr>
        <w:t xml:space="preserve">GHG Protocol Product Standard</w:t>
      </w:r>
      <w:r>
        <w:t xml:space="preserve">. This ensures consistency, comparability, and transparency in emission calculations and reporting.</w:t>
      </w:r>
    </w:p>
    <w:p>
      <w:pPr>
        <w:numPr>
          <w:ilvl w:val="0"/>
          <w:numId w:val="1005"/>
        </w:numPr>
        <w:pStyle w:val="Compact"/>
      </w:pPr>
      <w:r>
        <w:rPr>
          <w:bCs/>
          <w:b/>
        </w:rPr>
        <w:t xml:space="preserve">2026 LSR Update:</w:t>
      </w:r>
      <w:r>
        <w:t xml:space="preserve"> </w:t>
      </w:r>
      <w:r>
        <w:t xml:space="preserve">The analysis acknowledges and applies the Land Sector and Removals (LSR) Standard for land use and carbon removals. While specific LSR data for all components are not available at this level of detail, the framework is considered in the overall approach to carbon accounting.</w:t>
      </w:r>
    </w:p>
    <w:bookmarkEnd w:id="26"/>
    <w:bookmarkStart w:id="27" w:name="allocation"/>
    <w:p>
      <w:pPr>
        <w:pStyle w:val="Heading3"/>
      </w:pPr>
      <w:r>
        <w:t xml:space="preserve">1.5 Allocation</w:t>
      </w:r>
    </w:p>
    <w:p>
      <w:pPr>
        <w:numPr>
          <w:ilvl w:val="0"/>
          <w:numId w:val="1006"/>
        </w:numPr>
        <w:pStyle w:val="Compact"/>
      </w:pPr>
      <w:r>
        <w:t xml:space="preserve">Where co-production or multi-functional processes exist, allocation rules are applied based on established GHG Protocol guidance, typically physical (mass-based) or economic allocation, to fairly distribute environmental burdens.</w:t>
      </w:r>
    </w:p>
    <w:p>
      <w:r>
        <w:pict>
          <v:rect style="width:0;height:1.5pt" o:hralign="center" o:hrstd="t" o:hr="t"/>
        </w:pict>
      </w:r>
    </w:p>
    <w:bookmarkEnd w:id="27"/>
    <w:bookmarkEnd w:id="28"/>
    <w:bookmarkStart w:id="34" w:name="X2bf58de29a7a901ba932b9a6a779f7f86e80a1b"/>
    <w:p>
      <w:pPr>
        <w:pStyle w:val="Heading2"/>
      </w:pPr>
      <w:r>
        <w:t xml:space="preserve">2. Lifecycle Mapping and Data Collection (LCI Inventory)</w:t>
      </w:r>
    </w:p>
    <w:p>
      <w:pPr>
        <w:pStyle w:val="FirstParagraph"/>
      </w:pPr>
      <w:r>
        <w:t xml:space="preserve">This section details the product\'s lifecycle stages and the primary and secondary data points collected for the analysis. The Detailed Bill of Materials (BOM) provides high-accuracy material impact calculation.</w:t>
      </w:r>
    </w:p>
    <w:bookmarkStart w:id="29" w:name="X1569089859c9a0b099bbb1494b77bb99ddbf3e6"/>
    <w:p>
      <w:pPr>
        <w:pStyle w:val="Heading3"/>
      </w:pPr>
      <w:r>
        <w:t xml:space="preserve">2.1 Detailed Bill of Materials (BOM) - esyrxxqf</w:t>
      </w:r>
    </w:p>
    <w:p>
      <w:pPr>
        <w:pStyle w:val="FirstParagraph"/>
      </w:pPr>
      <w:r>
        <w:t xml:space="preserve">The following table presents the detailed Bill of Materials for "qyfipdxpdl", including pre-calculated total carbon emissions for each material, which are used directly in the material phase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4.0</w:t>
            </w:r>
          </w:p>
        </w:tc>
        <w:tc>
          <w:tcPr/>
          <w:p>
            <w:pPr>
              <w:pStyle w:val="Compact"/>
              <w:jc w:val="left"/>
            </w:pPr>
            <w:r>
              <w:t xml:space="preserve">6.0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bl>
    <w:bookmarkEnd w:id="29"/>
    <w:bookmarkStart w:id="30" w:name="energy-inputs---production-phase"/>
    <w:p>
      <w:pPr>
        <w:pStyle w:val="Heading3"/>
      </w:pPr>
      <w:r>
        <w:t xml:space="preserve">2.2 Energy Inputs - Production Phase</w:t>
      </w:r>
    </w:p>
    <w:p>
      <w:pPr>
        <w:numPr>
          <w:ilvl w:val="0"/>
          <w:numId w:val="1007"/>
        </w:numPr>
        <w:pStyle w:val="Compact"/>
      </w:pPr>
      <w:r>
        <w:rPr>
          <w:bCs/>
          <w:b/>
        </w:rPr>
        <w:t xml:space="preserve">Energy Intensity (kWh/unit):</w:t>
      </w:r>
      <w:r>
        <w:t xml:space="preserve"> </w:t>
      </w:r>
      <w:r>
        <w:t xml:space="preserve">10 kWh/unit (pnpimgzvef)</w:t>
      </w:r>
    </w:p>
    <w:p>
      <w:pPr>
        <w:numPr>
          <w:ilvl w:val="0"/>
          <w:numId w:val="1007"/>
        </w:numPr>
        <w:pStyle w:val="Compact"/>
      </w:pPr>
      <w:r>
        <w:rPr>
          <w:bCs/>
          <w:b/>
        </w:rPr>
        <w:t xml:space="preserve">Renewable Energy Usage:</w:t>
      </w:r>
      <w:r>
        <w:t xml:space="preserve"> </w:t>
      </w:r>
      <w:r>
        <w:t xml:space="preserve">70% (uoqmjessgy)</w:t>
      </w:r>
    </w:p>
    <w:bookmarkEnd w:id="30"/>
    <w:bookmarkStart w:id="31" w:name="transport-logistics-data"/>
    <w:p>
      <w:pPr>
        <w:pStyle w:val="Heading3"/>
      </w:pPr>
      <w:r>
        <w:t xml:space="preserve">2.3 Transport Logistics Data</w:t>
      </w:r>
    </w:p>
    <w:p>
      <w:pPr>
        <w:numPr>
          <w:ilvl w:val="0"/>
          <w:numId w:val="1008"/>
        </w:numPr>
        <w:pStyle w:val="Compact"/>
      </w:pPr>
      <w:r>
        <w:rPr>
          <w:bCs/>
          <w:b/>
        </w:rPr>
        <w:t xml:space="preserve">Transport Mode (Primary Supply Chain):</w:t>
      </w:r>
      <w:r>
        <w:t xml:space="preserve"> </w:t>
      </w:r>
      <w:r>
        <w:t xml:space="preserve">Select Mode (Assumed: Road Freight - Heavy Goods Vehicle, average for Europe-focused supply chain)</w:t>
      </w:r>
    </w:p>
    <w:p>
      <w:pPr>
        <w:numPr>
          <w:ilvl w:val="0"/>
          <w:numId w:val="1008"/>
        </w:numPr>
        <w:pStyle w:val="Compact"/>
      </w:pPr>
      <w:r>
        <w:rPr>
          <w:bCs/>
          <w:b/>
        </w:rPr>
        <w:t xml:space="preserve">Transport Distance:</w:t>
      </w:r>
      <w:r>
        <w:t xml:space="preserve"> </w:t>
      </w:r>
      <w:r>
        <w:t xml:space="preserve">1500 km (jepjqhkgnn)</w:t>
      </w:r>
    </w:p>
    <w:p>
      <w:pPr>
        <w:numPr>
          <w:ilvl w:val="0"/>
          <w:numId w:val="1008"/>
        </w:numPr>
        <w:pStyle w:val="Compact"/>
      </w:pPr>
      <w:r>
        <w:rPr>
          <w:bCs/>
          <w:b/>
        </w:rPr>
        <w:t xml:space="preserve">Last-Mile Delivery Channel:</w:t>
      </w:r>
      <w:r>
        <w:t xml:space="preserve"> </w:t>
      </w:r>
      <w:r>
        <w:t xml:space="preserve">Delivery Type (Placeholder, impact acknowledged but not quantified due to generic nature)</w:t>
      </w:r>
    </w:p>
    <w:bookmarkEnd w:id="31"/>
    <w:bookmarkStart w:id="32" w:name="use-phase-data"/>
    <w:p>
      <w:pPr>
        <w:pStyle w:val="Heading3"/>
      </w:pPr>
      <w:r>
        <w:t xml:space="preserve">2.4 Use Phase Data</w:t>
      </w:r>
    </w:p>
    <w:p>
      <w:pPr>
        <w:numPr>
          <w:ilvl w:val="0"/>
          <w:numId w:val="1009"/>
        </w:numPr>
        <w:pStyle w:val="Compact"/>
      </w:pPr>
      <w:r>
        <w:rPr>
          <w:bCs/>
          <w:b/>
        </w:rPr>
        <w:t xml:space="preserve">Product Lifespan:</w:t>
      </w:r>
      <w:r>
        <w:t xml:space="preserve"> </w:t>
      </w:r>
      <w:r>
        <w:t xml:space="preserve">5 years (gkgimvnsrs)</w:t>
      </w:r>
    </w:p>
    <w:p>
      <w:pPr>
        <w:numPr>
          <w:ilvl w:val="0"/>
          <w:numId w:val="1009"/>
        </w:numPr>
        <w:pStyle w:val="Compact"/>
      </w:pPr>
      <w:r>
        <w:rPr>
          <w:bCs/>
          <w:b/>
        </w:rPr>
        <w:t xml:space="preserve">Energy Consumption in Use:</w:t>
      </w:r>
      <w:r>
        <w:t xml:space="preserve"> </w:t>
      </w:r>
      <w:r>
        <w:t xml:space="preserve">50 kWh/year (qwzdethekq)</w:t>
      </w:r>
    </w:p>
    <w:bookmarkEnd w:id="32"/>
    <w:bookmarkStart w:id="33" w:name="end-of-life-eol-scenarios"/>
    <w:p>
      <w:pPr>
        <w:pStyle w:val="Heading3"/>
      </w:pPr>
      <w:r>
        <w:t xml:space="preserve">2.5 End-of-Life (EoL) Scenarios</w:t>
      </w:r>
    </w:p>
    <w:p>
      <w:pPr>
        <w:numPr>
          <w:ilvl w:val="0"/>
          <w:numId w:val="1010"/>
        </w:numPr>
        <w:pStyle w:val="Compact"/>
      </w:pPr>
      <w:r>
        <w:rPr>
          <w:bCs/>
          <w:b/>
        </w:rPr>
        <w:t xml:space="preserve">Recyclability Percentage:</w:t>
      </w:r>
      <w:r>
        <w:t xml:space="preserve"> </w:t>
      </w:r>
      <w:r>
        <w:t xml:space="preserve">80% (teoovphlep)</w:t>
      </w:r>
    </w:p>
    <w:p>
      <w:pPr>
        <w:numPr>
          <w:ilvl w:val="0"/>
          <w:numId w:val="1010"/>
        </w:numPr>
        <w:pStyle w:val="Compact"/>
      </w:pPr>
      <w:r>
        <w:rPr>
          <w:bCs/>
          <w:b/>
        </w:rPr>
        <w:t xml:space="preserve">Circular/Take-back Programs:</w:t>
      </w:r>
      <w:r>
        <w:t xml:space="preserve"> </w:t>
      </w:r>
      <w:r>
        <w:t xml:space="preserve">dwksrszovo (Participation in take-back programs, indicating circular economy impacts)</w:t>
      </w:r>
    </w:p>
    <w:p>
      <w:r>
        <w:pict>
          <v:rect style="width:0;height:1.5pt" o:hralign="center" o:hrstd="t" o:hr="t"/>
        </w:pict>
      </w:r>
    </w:p>
    <w:bookmarkEnd w:id="33"/>
    <w:bookmarkEnd w:id="34"/>
    <w:bookmarkStart w:id="42"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based on collected activity data and industry-standard emission factors (e.g., from Ecoinvent/DEFRA), categorized according to the GHG Protocol. All results are expressed in kilograms of carbon dioxide equivalent (kg CO2e).</w:t>
      </w:r>
    </w:p>
    <w:bookmarkStart w:id="35" w:name="emission-factors-used"/>
    <w:p>
      <w:pPr>
        <w:pStyle w:val="Heading3"/>
      </w:pPr>
      <w:r>
        <w:t xml:space="preserve">3.1 Emission Factors Used:</w:t>
      </w:r>
    </w:p>
    <w:p>
      <w:pPr>
        <w:numPr>
          <w:ilvl w:val="0"/>
          <w:numId w:val="1011"/>
        </w:numPr>
        <w:pStyle w:val="Compact"/>
      </w:pPr>
      <w:r>
        <w:rPr>
          <w:bCs/>
          <w:b/>
        </w:rPr>
        <w:t xml:space="preserve">China Electricity Grid Mix (Production):</w:t>
      </w:r>
      <w:r>
        <w:t xml:space="preserve"> </w:t>
      </w:r>
      <w:r>
        <w:t xml:space="preserve">0.60 kg CO2e/kWh (Assumed national average)</w:t>
      </w:r>
    </w:p>
    <w:p>
      <w:pPr>
        <w:numPr>
          <w:ilvl w:val="0"/>
          <w:numId w:val="1011"/>
        </w:numPr>
        <w:pStyle w:val="Compact"/>
      </w:pPr>
      <w:r>
        <w:rPr>
          <w:bCs/>
          <w:b/>
        </w:rPr>
        <w:t xml:space="preserve">Road Freight (Europe):</w:t>
      </w:r>
      <w:r>
        <w:t xml:space="preserve"> </w:t>
      </w:r>
      <w:r>
        <w:t xml:space="preserve">0.092 kg CO2e/tonne-km (Well-to-Wheel, HGV &gt;20t)</w:t>
      </w:r>
    </w:p>
    <w:p>
      <w:pPr>
        <w:numPr>
          <w:ilvl w:val="0"/>
          <w:numId w:val="1011"/>
        </w:numPr>
        <w:pStyle w:val="Compact"/>
      </w:pPr>
      <w:r>
        <w:rPr>
          <w:bCs/>
          <w:b/>
        </w:rPr>
        <w:t xml:space="preserve">EU Electricity Grid Mix (Use Phase):</w:t>
      </w:r>
      <w:r>
        <w:t xml:space="preserve"> </w:t>
      </w:r>
      <w:r>
        <w:t xml:space="preserve">0.238 kg CO2e/kWh (EU-27 average)</w:t>
      </w:r>
    </w:p>
    <w:p>
      <w:pPr>
        <w:numPr>
          <w:ilvl w:val="0"/>
          <w:numId w:val="1011"/>
        </w:numPr>
        <w:pStyle w:val="Compact"/>
      </w:pPr>
      <w:r>
        <w:rPr>
          <w:bCs/>
          <w:b/>
        </w:rPr>
        <w:t xml:space="preserve">Avoided Emissions - Recycling Aluminum:</w:t>
      </w:r>
      <w:r>
        <w:t xml:space="preserve"> </w:t>
      </w:r>
      <w:r>
        <w:t xml:space="preserve">8.14 kg CO2e/kg</w:t>
      </w:r>
    </w:p>
    <w:p>
      <w:pPr>
        <w:numPr>
          <w:ilvl w:val="0"/>
          <w:numId w:val="1011"/>
        </w:numPr>
        <w:pStyle w:val="Compact"/>
      </w:pPr>
      <w:r>
        <w:rPr>
          <w:bCs/>
          <w:b/>
        </w:rPr>
        <w:t xml:space="preserve">Avoided Emissions - Recycling Plastic:</w:t>
      </w:r>
      <w:r>
        <w:t xml:space="preserve"> </w:t>
      </w:r>
      <w:r>
        <w:t xml:space="preserve">1.08 kg CO2e/kg</w:t>
      </w:r>
    </w:p>
    <w:p>
      <w:pPr>
        <w:numPr>
          <w:ilvl w:val="0"/>
          <w:numId w:val="1011"/>
        </w:numPr>
        <w:pStyle w:val="Compact"/>
      </w:pPr>
      <w:r>
        <w:rPr>
          <w:bCs/>
          <w:b/>
        </w:rPr>
        <w:t xml:space="preserve">Avoided Emissions - Recycling Cardboard:</w:t>
      </w:r>
      <w:r>
        <w:t xml:space="preserve"> </w:t>
      </w:r>
      <w:r>
        <w:t xml:space="preserve">0.46 kg CO2e/kg</w:t>
      </w:r>
    </w:p>
    <w:bookmarkEnd w:id="35"/>
    <w:bookmarkStart w:id="36" w:name="Xdee8365473cb49de22ce0d7cc5ff18eecf62148"/>
    <w:p>
      <w:pPr>
        <w:pStyle w:val="Heading3"/>
      </w:pPr>
      <w:r>
        <w:t xml:space="preserve">3.2 Material Acquisition and Processing (Scope 3 - Upstream)</w:t>
      </w:r>
    </w:p>
    <w:p>
      <w:pPr>
        <w:pStyle w:val="FirstParagraph"/>
      </w:pPr>
      <w:r>
        <w:t xml:space="preserve">The total carbon from raw material extraction and processing is derived directly from the "Total Carbon" values provided in the Detailed Bill of Materials (esyrxxqf).</w:t>
      </w:r>
    </w:p>
    <w:p>
      <w:pPr>
        <w:numPr>
          <w:ilvl w:val="0"/>
          <w:numId w:val="1012"/>
        </w:numPr>
        <w:pStyle w:val="Compact"/>
      </w:pPr>
      <w:r>
        <w:t xml:space="preserve">Total Material Mass: 2.0 kg (Aluminum) + 1.5 kg (Plastic) + 0.1 kg (Circuit Board) + 0.5 kg (Cardboard) = 4.1 kg</w:t>
      </w:r>
    </w:p>
    <w:p>
      <w:pPr>
        <w:numPr>
          <w:ilvl w:val="0"/>
          <w:numId w:val="1012"/>
        </w:numPr>
        <w:pStyle w:val="Compact"/>
      </w:pPr>
      <w:r>
        <w:rPr>
          <w:bCs/>
          <w:b/>
        </w:rPr>
        <w:t xml:space="preserve">Total Emissions from Materials:</w:t>
      </w:r>
      <w:r>
        <w:t xml:space="preserve"> </w:t>
      </w:r>
      <w:r>
        <w:t xml:space="preserve">30.0 kgCO2e (Aluminum) + 6.0 kgCO2e (Plastic) + 15.0 kgCO2e (Circuit Board) + 0.5 kgCO2e (Cardboard) =</w:t>
      </w:r>
      <w:r>
        <w:t xml:space="preserve"> </w:t>
      </w:r>
      <w:r>
        <w:rPr>
          <w:bCs/>
          <w:b/>
        </w:rPr>
        <w:t xml:space="preserve">51.5 kg CO2e</w:t>
      </w:r>
    </w:p>
    <w:bookmarkEnd w:id="36"/>
    <w:bookmarkStart w:id="37" w:name="manufacturing-scope-1-2"/>
    <w:p>
      <w:pPr>
        <w:pStyle w:val="Heading3"/>
      </w:pPr>
      <w:r>
        <w:t xml:space="preserve">3.3 Manufacturing (Scope 1 &amp; 2)</w:t>
      </w:r>
    </w:p>
    <w:p>
      <w:pPr>
        <w:pStyle w:val="FirstParagraph"/>
      </w:pPr>
      <w:r>
        <w:t xml:space="preserve">Emissions from the production phase are calculated based on the energy intensity and renewable energy usage at the final production country, China.</w:t>
      </w:r>
    </w:p>
    <w:p>
      <w:pPr>
        <w:numPr>
          <w:ilvl w:val="0"/>
          <w:numId w:val="1013"/>
        </w:numPr>
        <w:pStyle w:val="Compact"/>
      </w:pPr>
      <w:r>
        <w:t xml:space="preserve">Energy Intensity: 10 kWh/unit (pnpimgzvef)</w:t>
      </w:r>
    </w:p>
    <w:p>
      <w:pPr>
        <w:numPr>
          <w:ilvl w:val="0"/>
          <w:numId w:val="1013"/>
        </w:numPr>
        <w:pStyle w:val="Compact"/>
      </w:pPr>
      <w:r>
        <w:t xml:space="preserve">Renewable Energy Usage: 70% (uoqmjessgy)</w:t>
      </w:r>
    </w:p>
    <w:p>
      <w:pPr>
        <w:numPr>
          <w:ilvl w:val="0"/>
          <w:numId w:val="1013"/>
        </w:numPr>
        <w:pStyle w:val="Compact"/>
      </w:pPr>
      <w:r>
        <w:t xml:space="preserve">Non-Renewable Energy: 10 kWh * (1 - 0.70) = 3 kWh/unit</w:t>
      </w:r>
    </w:p>
    <w:p>
      <w:pPr>
        <w:numPr>
          <w:ilvl w:val="0"/>
          <w:numId w:val="1013"/>
        </w:numPr>
        <w:pStyle w:val="Compact"/>
      </w:pPr>
      <w:r>
        <w:rPr>
          <w:bCs/>
          <w:b/>
        </w:rPr>
        <w:t xml:space="preserve">Emissions from Manufacturing:</w:t>
      </w:r>
      <w:r>
        <w:t xml:space="preserve"> </w:t>
      </w:r>
      <w:r>
        <w:t xml:space="preserve">3 kWh/unit * 0.60 kg CO2e/kWh (China Grid Mix) =</w:t>
      </w:r>
      <w:r>
        <w:t xml:space="preserve"> </w:t>
      </w:r>
      <w:r>
        <w:rPr>
          <w:bCs/>
          <w:b/>
        </w:rPr>
        <w:t xml:space="preserve">1.8 kg CO2e</w:t>
      </w:r>
    </w:p>
    <w:p>
      <w:pPr>
        <w:numPr>
          <w:ilvl w:val="0"/>
          <w:numId w:val="1013"/>
        </w:numPr>
        <w:pStyle w:val="Compact"/>
      </w:pPr>
      <w:r>
        <w:t xml:space="preserve">(Assuming Scope 1 direct emissions are negligible or included in the grid mix for purchased electricity. Scope 2 emissions are calculated here for purchased non-renewable electricity).</w:t>
      </w:r>
    </w:p>
    <w:bookmarkEnd w:id="37"/>
    <w:bookmarkStart w:id="38" w:name="transport-scope-3---upstream"/>
    <w:p>
      <w:pPr>
        <w:pStyle w:val="Heading3"/>
      </w:pPr>
      <w:r>
        <w:t xml:space="preserve">3.4 Transport (Scope 3 - Upstream)</w:t>
      </w:r>
    </w:p>
    <w:p>
      <w:pPr>
        <w:pStyle w:val="FirstParagraph"/>
      </w:pPr>
      <w:r>
        <w:t xml:space="preserve">Transportation from the supply chain (Europe Focused) to the final production country (China) is assessed.</w:t>
      </w:r>
    </w:p>
    <w:p>
      <w:pPr>
        <w:numPr>
          <w:ilvl w:val="0"/>
          <w:numId w:val="1014"/>
        </w:numPr>
        <w:pStyle w:val="Compact"/>
      </w:pPr>
      <w:r>
        <w:t xml:space="preserve">Total Product Weight (from BOM): 4.1 kg = 0.0041 tonnes</w:t>
      </w:r>
    </w:p>
    <w:p>
      <w:pPr>
        <w:numPr>
          <w:ilvl w:val="0"/>
          <w:numId w:val="1014"/>
        </w:numPr>
        <w:pStyle w:val="Compact"/>
      </w:pPr>
      <w:r>
        <w:t xml:space="preserve">Transport Distance: 1500 km (jepjqhkgnn)</w:t>
      </w:r>
    </w:p>
    <w:p>
      <w:pPr>
        <w:numPr>
          <w:ilvl w:val="0"/>
          <w:numId w:val="1014"/>
        </w:numPr>
        <w:pStyle w:val="Compact"/>
      </w:pPr>
      <w:r>
        <w:t xml:space="preserve">Assumed Transport Mode: Road Freight (HGV &gt;20t, Europe)</w:t>
      </w:r>
    </w:p>
    <w:p>
      <w:pPr>
        <w:numPr>
          <w:ilvl w:val="0"/>
          <w:numId w:val="1014"/>
        </w:numPr>
        <w:pStyle w:val="Compact"/>
      </w:pPr>
      <w:r>
        <w:rPr>
          <w:bCs/>
          <w:b/>
        </w:rPr>
        <w:t xml:space="preserve">Emissions from Transport:</w:t>
      </w:r>
      <w:r>
        <w:t xml:space="preserve"> </w:t>
      </w:r>
      <w:r>
        <w:t xml:space="preserve">0.0041 tonnes * 1500 km * 0.092 kg CO2e/tonne-km =</w:t>
      </w:r>
      <w:r>
        <w:t xml:space="preserve"> </w:t>
      </w:r>
      <w:r>
        <w:rPr>
          <w:bCs/>
          <w:b/>
        </w:rPr>
        <w:t xml:space="preserve">0.5658 kg CO2e</w:t>
      </w:r>
    </w:p>
    <w:p>
      <w:pPr>
        <w:numPr>
          <w:ilvl w:val="0"/>
          <w:numId w:val="1014"/>
        </w:numPr>
        <w:pStyle w:val="Compact"/>
      </w:pPr>
      <w:r>
        <w:t xml:space="preserve">Last-Mile Delivery Channel: "Delivery Type" - Not quantified due to generic nature, but acknowledged as a potential source of downstream emissions.</w:t>
      </w:r>
    </w:p>
    <w:bookmarkEnd w:id="38"/>
    <w:bookmarkStart w:id="39" w:name="use-phase-scope-3---downstream"/>
    <w:p>
      <w:pPr>
        <w:pStyle w:val="Heading3"/>
      </w:pPr>
      <w:r>
        <w:t xml:space="preserve">3.5 Use Phase (Scope 3 - Downstream)</w:t>
      </w:r>
    </w:p>
    <w:p>
      <w:pPr>
        <w:pStyle w:val="FirstParagraph"/>
      </w:pPr>
      <w:r>
        <w:t xml:space="preserve">The energy consumption during the product\'s lifespan is a significant contributor to its overall footprint.</w:t>
      </w:r>
    </w:p>
    <w:p>
      <w:pPr>
        <w:numPr>
          <w:ilvl w:val="0"/>
          <w:numId w:val="1015"/>
        </w:numPr>
        <w:pStyle w:val="Compact"/>
      </w:pPr>
      <w:r>
        <w:t xml:space="preserve">Product Lifespan: 5 years (gkgimvnsrs)</w:t>
      </w:r>
    </w:p>
    <w:p>
      <w:pPr>
        <w:numPr>
          <w:ilvl w:val="0"/>
          <w:numId w:val="1015"/>
        </w:numPr>
        <w:pStyle w:val="Compact"/>
      </w:pPr>
      <w:r>
        <w:t xml:space="preserve">Energy Consumption in Use: 50 kWh/year (qwzdethekq)</w:t>
      </w:r>
    </w:p>
    <w:p>
      <w:pPr>
        <w:numPr>
          <w:ilvl w:val="0"/>
          <w:numId w:val="1015"/>
        </w:numPr>
        <w:pStyle w:val="Compact"/>
      </w:pPr>
      <w:r>
        <w:t xml:space="preserve">Total Energy Consumption over Lifespan: 5 years * 50 kWh/year = 250 kWh</w:t>
      </w:r>
    </w:p>
    <w:p>
      <w:pPr>
        <w:numPr>
          <w:ilvl w:val="0"/>
          <w:numId w:val="1015"/>
        </w:numPr>
        <w:pStyle w:val="Compact"/>
      </w:pPr>
      <w:r>
        <w:t xml:space="preserve">Assumed Electricity Mix: EU Electricity Grid Mix (due to Europe-focused supply chain, implying European use)</w:t>
      </w:r>
    </w:p>
    <w:p>
      <w:pPr>
        <w:numPr>
          <w:ilvl w:val="0"/>
          <w:numId w:val="1015"/>
        </w:numPr>
        <w:pStyle w:val="Compact"/>
      </w:pPr>
      <w:r>
        <w:rPr>
          <w:bCs/>
          <w:b/>
        </w:rPr>
        <w:t xml:space="preserve">Emissions from Use Phase:</w:t>
      </w:r>
      <w:r>
        <w:t xml:space="preserve"> </w:t>
      </w:r>
      <w:r>
        <w:t xml:space="preserve">250 kWh * 0.238 kg CO2e/kWh =</w:t>
      </w:r>
      <w:r>
        <w:t xml:space="preserve"> </w:t>
      </w:r>
      <w:r>
        <w:rPr>
          <w:bCs/>
          <w:b/>
        </w:rPr>
        <w:t xml:space="preserve">59.5 kg CO2e</w:t>
      </w:r>
    </w:p>
    <w:bookmarkEnd w:id="39"/>
    <w:bookmarkStart w:id="40" w:name="end-of-life-eol-scope-3---downstream"/>
    <w:p>
      <w:pPr>
        <w:pStyle w:val="Heading3"/>
      </w:pPr>
      <w:r>
        <w:t xml:space="preserve">3.6 End-of-Life (EoL) (Scope 3 - Downstream)</w:t>
      </w:r>
    </w:p>
    <w:p>
      <w:pPr>
        <w:pStyle w:val="FirstParagraph"/>
      </w:pPr>
      <w:r>
        <w:t xml:space="preserve">End-of-life scenarios consider the recyclability of the product components.</w:t>
      </w:r>
    </w:p>
    <w:p>
      <w:pPr>
        <w:numPr>
          <w:ilvl w:val="0"/>
          <w:numId w:val="1016"/>
        </w:numPr>
        <w:pStyle w:val="Compact"/>
      </w:pPr>
      <w:r>
        <w:t xml:space="preserve">Total Product Weight: 4.1 kg</w:t>
      </w:r>
    </w:p>
    <w:p>
      <w:pPr>
        <w:numPr>
          <w:ilvl w:val="0"/>
          <w:numId w:val="1016"/>
        </w:numPr>
        <w:pStyle w:val="Compact"/>
      </w:pPr>
      <w:r>
        <w:t xml:space="preserve">Recyclability Percentage: 80% (teoovphlep)</w:t>
      </w:r>
    </w:p>
    <w:p>
      <w:pPr>
        <w:numPr>
          <w:ilvl w:val="0"/>
          <w:numId w:val="1016"/>
        </w:numPr>
        <w:pStyle w:val="Compact"/>
      </w:pPr>
      <w:r>
        <w:t xml:space="preserve">Estimated Recyclable Mass: Approximately 4.0 kg of the product (Aluminum, Plastic, Cardboard from BOM) are potentially recyclable. Applying 80% recyclability to this specific mass, the amount actually recycled is 4.0 kg * 0.80 = 3.2 kg.</w:t>
      </w:r>
    </w:p>
    <w:p>
      <w:pPr>
        <w:numPr>
          <w:ilvl w:val="0"/>
          <w:numId w:val="1016"/>
        </w:numPr>
        <w:pStyle w:val="Compact"/>
      </w:pPr>
      <w:r>
        <w:t xml:space="preserve">Allocated Recycled Material Mass:</w:t>
      </w:r>
    </w:p>
    <w:p>
      <w:pPr>
        <w:numPr>
          <w:ilvl w:val="1"/>
          <w:numId w:val="1017"/>
        </w:numPr>
        <w:pStyle w:val="Compact"/>
      </w:pPr>
      <w:r>
        <w:t xml:space="preserve">Aluminum: (2.0 / 4.0) * 3.2 kg = 1.6 kg</w:t>
      </w:r>
    </w:p>
    <w:p>
      <w:pPr>
        <w:numPr>
          <w:ilvl w:val="1"/>
          <w:numId w:val="1017"/>
        </w:numPr>
        <w:pStyle w:val="Compact"/>
      </w:pPr>
      <w:r>
        <w:t xml:space="preserve">Plastic: (1.5 / 4.0) * 3.2 kg = 1.2 kg</w:t>
      </w:r>
    </w:p>
    <w:p>
      <w:pPr>
        <w:numPr>
          <w:ilvl w:val="1"/>
          <w:numId w:val="1017"/>
        </w:numPr>
        <w:pStyle w:val="Compact"/>
      </w:pPr>
      <w:r>
        <w:t xml:space="preserve">Cardboard: (0.5 / 4.0) * 3.2 kg = 0.4 kg</w:t>
      </w:r>
    </w:p>
    <w:p>
      <w:pPr>
        <w:numPr>
          <w:ilvl w:val="0"/>
          <w:numId w:val="1016"/>
        </w:numPr>
        <w:pStyle w:val="Compact"/>
      </w:pPr>
      <w:r>
        <w:t xml:space="preserve">Avoided Emissions from Recycling:</w:t>
      </w:r>
    </w:p>
    <w:p>
      <w:pPr>
        <w:numPr>
          <w:ilvl w:val="1"/>
          <w:numId w:val="1018"/>
        </w:numPr>
        <w:pStyle w:val="Compact"/>
      </w:pPr>
      <w:r>
        <w:t xml:space="preserve">Aluminum: 1.6 kg * 8.14 kg CO2e/kg = 13.024 kg CO2e</w:t>
      </w:r>
    </w:p>
    <w:p>
      <w:pPr>
        <w:numPr>
          <w:ilvl w:val="1"/>
          <w:numId w:val="1018"/>
        </w:numPr>
        <w:pStyle w:val="Compact"/>
      </w:pPr>
      <w:r>
        <w:t xml:space="preserve">Plastic: 1.2 kg * 1.08 kg CO2e/kg = 1.296 kg CO2e</w:t>
      </w:r>
    </w:p>
    <w:p>
      <w:pPr>
        <w:numPr>
          <w:ilvl w:val="1"/>
          <w:numId w:val="1018"/>
        </w:numPr>
        <w:pStyle w:val="Compact"/>
      </w:pPr>
      <w:r>
        <w:t xml:space="preserve">Cardboard: 0.4 kg * 0.46 kg CO2e/kg = 0.184 kg CO2e</w:t>
      </w:r>
    </w:p>
    <w:p>
      <w:pPr>
        <w:numPr>
          <w:ilvl w:val="0"/>
          <w:numId w:val="1016"/>
        </w:numPr>
        <w:pStyle w:val="Compact"/>
      </w:pPr>
      <w:r>
        <w:rPr>
          <w:bCs/>
          <w:b/>
        </w:rPr>
        <w:t xml:space="preserve">Total Avoided Emissions (EoL):</w:t>
      </w:r>
      <w:r>
        <w:t xml:space="preserve"> </w:t>
      </w:r>
      <w:r>
        <w:t xml:space="preserve">- (13.024 + 1.296 + 0.184) kg CO2e =</w:t>
      </w:r>
      <w:r>
        <w:t xml:space="preserve"> </w:t>
      </w:r>
      <w:r>
        <w:rPr>
          <w:bCs/>
          <w:b/>
        </w:rPr>
        <w:t xml:space="preserve">-14.504 kg CO2e</w:t>
      </w:r>
      <w:r>
        <w:t xml:space="preserve"> </w:t>
      </w:r>
      <w:r>
        <w:t xml:space="preserve">(Negative value represents emissions avoided)</w:t>
      </w:r>
    </w:p>
    <w:p>
      <w:pPr>
        <w:numPr>
          <w:ilvl w:val="0"/>
          <w:numId w:val="1016"/>
        </w:numPr>
        <w:pStyle w:val="Compact"/>
      </w:pPr>
      <w:r>
        <w:t xml:space="preserve">Circular/Take-back Programs (dwksrszovo): The existence of these programs further enhances the potential for higher recycling rates and material recovery, reducing the need for virgin materials and lowering the overall footprint.</w:t>
      </w:r>
    </w:p>
    <w:bookmarkEnd w:id="40"/>
    <w:bookmarkStart w:id="41" w:name="total-product-carbon-footprint-pcf"/>
    <w:p>
      <w:pPr>
        <w:pStyle w:val="Heading3"/>
      </w:pPr>
      <w:r>
        <w:t xml:space="preserve">3.7 Total Product Carbon Footprint (PCF)</w:t>
      </w:r>
    </w:p>
    <w:p>
      <w:pPr>
        <w:pStyle w:val="FirstParagraph"/>
      </w:pPr>
      <w:r>
        <w:t xml:space="preserve">Summing up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51.50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1.80</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0.57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59.50</w:t>
            </w:r>
          </w:p>
        </w:tc>
      </w:tr>
      <w:tr>
        <w:tc>
          <w:tcPr/>
          <w:p>
            <w:pPr>
              <w:pStyle w:val="Compact"/>
              <w:jc w:val="left"/>
            </w:pPr>
            <w:r>
              <w:t xml:space="preserve">End-of-Life (Avoided Emissions)</w:t>
            </w:r>
          </w:p>
        </w:tc>
        <w:tc>
          <w:tcPr/>
          <w:p>
            <w:pPr>
              <w:pStyle w:val="Compact"/>
              <w:jc w:val="left"/>
            </w:pPr>
            <w:r>
              <w:t xml:space="preserve">Scope 3 (Downstream)</w:t>
            </w:r>
          </w:p>
        </w:tc>
        <w:tc>
          <w:tcPr/>
          <w:p>
            <w:pPr>
              <w:pStyle w:val="Compact"/>
              <w:jc w:val="left"/>
            </w:pPr>
            <w:r>
              <w:t xml:space="preserve">-14.50</w:t>
            </w:r>
          </w:p>
        </w:tc>
      </w:tr>
      <w:tr>
        <w:tc>
          <w:tcPr/>
          <w:p>
            <w:pPr>
              <w:pStyle w:val="Compact"/>
              <w:jc w:val="left"/>
            </w:pPr>
            <w:r>
              <w:t xml:space="preserve">Total Product Carbon Footprint</w:t>
            </w:r>
          </w:p>
        </w:tc>
        <w:tc>
          <w:tcPr/>
          <w:p>
            <w:pPr>
              <w:pStyle w:val="Compact"/>
            </w:pPr>
          </w:p>
        </w:tc>
        <w:tc>
          <w:tcPr/>
          <w:p>
            <w:pPr>
              <w:pStyle w:val="Compact"/>
              <w:jc w:val="left"/>
            </w:pPr>
            <w:r>
              <w:t xml:space="preserve">98.87</w:t>
            </w:r>
          </w:p>
        </w:tc>
      </w:tr>
    </w:tbl>
    <w:p>
      <w:pPr>
        <w:pStyle w:val="BodyText"/>
      </w:pPr>
      <w:r>
        <w:t xml:space="preserve">The total Product Carbon Footprint for one unit of qyfipdxpdl is</w:t>
      </w:r>
      <w:r>
        <w:t xml:space="preserve"> </w:t>
      </w:r>
      <w:r>
        <w:rPr>
          <w:bCs/>
          <w:b/>
        </w:rPr>
        <w:t xml:space="preserve">98.87 kg CO2e</w:t>
      </w:r>
      <w:r>
        <w:t xml:space="preserve">.</w:t>
      </w:r>
    </w:p>
    <w:p>
      <w:r>
        <w:pict>
          <v:rect style="width:0;height:1.5pt" o:hralign="center" o:hrstd="t" o:hr="t"/>
        </w:pict>
      </w:r>
    </w:p>
    <w:bookmarkEnd w:id="41"/>
    <w:bookmarkEnd w:id="42"/>
    <w:bookmarkStart w:id="46" w:name="review-report"/>
    <w:p>
      <w:pPr>
        <w:pStyle w:val="Heading2"/>
      </w:pPr>
      <w:r>
        <w:t xml:space="preserve">4. Review &amp; Report</w:t>
      </w:r>
    </w:p>
    <w:bookmarkStart w:id="43" w:name="hotspots-identification"/>
    <w:p>
      <w:pPr>
        <w:pStyle w:val="Heading3"/>
      </w:pPr>
      <w:r>
        <w:t xml:space="preserve">4.1 Hotspots Identification</w:t>
      </w:r>
    </w:p>
    <w:p>
      <w:pPr>
        <w:pStyle w:val="FirstParagraph"/>
      </w:pPr>
      <w:r>
        <w:t xml:space="preserve">The analysis reveals the following key emission hotspots for "qyfipdxpdl":</w:t>
      </w:r>
    </w:p>
    <w:p>
      <w:pPr>
        <w:numPr>
          <w:ilvl w:val="0"/>
          <w:numId w:val="1019"/>
        </w:numPr>
        <w:pStyle w:val="Compact"/>
      </w:pPr>
      <w:r>
        <w:rPr>
          <w:bCs/>
          <w:b/>
        </w:rPr>
        <w:t xml:space="preserve">Use Phase:</w:t>
      </w:r>
      <w:r>
        <w:t xml:space="preserve"> </w:t>
      </w:r>
      <w:r>
        <w:t xml:space="preserve">With 59.50 kg CO2e, the energy consumption during the product\'s 5-year lifespan is the largest contributor to the overall footprint, accounting for approximately 60% of total emissions. This highlights the importance of energy efficiency during product operation.</w:t>
      </w:r>
    </w:p>
    <w:p>
      <w:pPr>
        <w:numPr>
          <w:ilvl w:val="0"/>
          <w:numId w:val="1019"/>
        </w:numPr>
        <w:pStyle w:val="Compact"/>
      </w:pPr>
      <w:r>
        <w:rPr>
          <w:bCs/>
          <w:b/>
        </w:rPr>
        <w:t xml:space="preserve">Material Acquisition &amp; Processing:</w:t>
      </w:r>
      <w:r>
        <w:t xml:space="preserve"> </w:t>
      </w:r>
      <w:r>
        <w:t xml:space="preserve">Accounting for 51.50 kg CO2e, the raw materials, particularly the Aluminum Casing and Circuit Board, contribute significantly. This indicates that material selection and the embodied carbon of components are critical.</w:t>
      </w:r>
    </w:p>
    <w:p>
      <w:pPr>
        <w:numPr>
          <w:ilvl w:val="0"/>
          <w:numId w:val="1019"/>
        </w:numPr>
        <w:pStyle w:val="Compact"/>
      </w:pPr>
      <w:r>
        <w:rPr>
          <w:bCs/>
          <w:b/>
        </w:rPr>
        <w:t xml:space="preserve">Manufacturing:</w:t>
      </w:r>
      <w:r>
        <w:t xml:space="preserve"> </w:t>
      </w:r>
      <w:r>
        <w:t xml:space="preserve">Emissions from the production process itself are relatively lower at 1.80 kg CO2e, partly mitigated by the 70% renewable energy usage.</w:t>
      </w:r>
    </w:p>
    <w:p>
      <w:pPr>
        <w:numPr>
          <w:ilvl w:val="0"/>
          <w:numId w:val="1019"/>
        </w:numPr>
        <w:pStyle w:val="Compact"/>
      </w:pPr>
      <w:r>
        <w:rPr>
          <w:bCs/>
          <w:b/>
        </w:rPr>
        <w:t xml:space="preserve">End-of-Life:</w:t>
      </w:r>
      <w:r>
        <w:t xml:space="preserve"> </w:t>
      </w:r>
      <w:r>
        <w:t xml:space="preserve">Recycling efforts provide substantial avoided emissions (-14.50 kg CO2e), underscoring the positive impact of circular economy practices.</w:t>
      </w:r>
    </w:p>
    <w:bookmarkEnd w:id="43"/>
    <w:bookmarkStart w:id="44" w:name="reliability-and-limitations"/>
    <w:p>
      <w:pPr>
        <w:pStyle w:val="Heading3"/>
      </w:pPr>
      <w:r>
        <w:t xml:space="preserve">4.2 Reliability and Limitations</w:t>
      </w:r>
    </w:p>
    <w:p>
      <w:pPr>
        <w:pStyle w:val="FirstParagraph"/>
      </w:pPr>
      <w:r>
        <w:t xml:space="preserve">The reliability of this PCF analysis is high due to the adherence to the GHG Protocol and the use of specific primary data (Detailed BOM, energy usage, lifespan). However, certain limitations exist:</w:t>
      </w:r>
    </w:p>
    <w:p>
      <w:pPr>
        <w:numPr>
          <w:ilvl w:val="0"/>
          <w:numId w:val="1020"/>
        </w:numPr>
        <w:pStyle w:val="Compact"/>
      </w:pPr>
      <w:r>
        <w:rPr>
          <w:bCs/>
          <w:b/>
        </w:rPr>
        <w:t xml:space="preserve">Generic Emission Factors:</w:t>
      </w:r>
      <w:r>
        <w:t xml:space="preserve"> </w:t>
      </w:r>
      <w:r>
        <w:t xml:space="preserve">While industry-standard, some emission factors (e.g., for specific transport modes or average grid mixes) are generic and may not perfectly reflect the exact conditions of every supplier or individual use case.</w:t>
      </w:r>
    </w:p>
    <w:p>
      <w:pPr>
        <w:numPr>
          <w:ilvl w:val="0"/>
          <w:numId w:val="1020"/>
        </w:numPr>
        <w:pStyle w:val="Compact"/>
      </w:pPr>
      <w:r>
        <w:rPr>
          <w:bCs/>
          <w:b/>
        </w:rPr>
        <w:t xml:space="preserve">Last-Mile Delivery:</w:t>
      </w:r>
      <w:r>
        <w:t xml:space="preserve"> </w:t>
      </w:r>
      <w:r>
        <w:t xml:space="preserve">The "Delivery Type" for last-mile delivery was not quantified due to its generic nature, representing a potential area for more granular data collection in future analyses.</w:t>
      </w:r>
    </w:p>
    <w:p>
      <w:pPr>
        <w:numPr>
          <w:ilvl w:val="0"/>
          <w:numId w:val="1020"/>
        </w:numPr>
        <w:pStyle w:val="Compact"/>
      </w:pPr>
      <w:r>
        <w:rPr>
          <w:bCs/>
          <w:b/>
        </w:rPr>
        <w:t xml:space="preserve">LSR Standard:</w:t>
      </w:r>
      <w:r>
        <w:t xml:space="preserve"> </w:t>
      </w:r>
      <w:r>
        <w:t xml:space="preserve">The 2026 LSR Update for land use and carbon removals has been acknowledged, but detailed quantification of land use change emissions or specific carbon removals associated with all materials in the BOM was beyond the scope of this general assessment.</w:t>
      </w:r>
    </w:p>
    <w:p>
      <w:pPr>
        <w:numPr>
          <w:ilvl w:val="0"/>
          <w:numId w:val="1020"/>
        </w:numPr>
        <w:pStyle w:val="Compact"/>
      </w:pPr>
      <w:r>
        <w:rPr>
          <w:bCs/>
          <w:b/>
        </w:rPr>
        <w:t xml:space="preserve">Scope 3 Coverage:</w:t>
      </w:r>
      <w:r>
        <w:t xml:space="preserve"> </w:t>
      </w:r>
      <w:r>
        <w:t xml:space="preserve">While targeting 95% coverage, some minor Scope 3 categories might not be fully captured without more exhaustive supply chain data collection.</w:t>
      </w:r>
    </w:p>
    <w:bookmarkEnd w:id="44"/>
    <w:bookmarkStart w:id="45" w:name="recommendations-for-reduction"/>
    <w:p>
      <w:pPr>
        <w:pStyle w:val="Heading3"/>
      </w:pPr>
      <w:r>
        <w:t xml:space="preserve">4.3 Recommendations for Reduction</w:t>
      </w:r>
    </w:p>
    <w:p>
      <w:pPr>
        <w:numPr>
          <w:ilvl w:val="0"/>
          <w:numId w:val="1021"/>
        </w:numPr>
        <w:pStyle w:val="Compact"/>
      </w:pPr>
      <w:r>
        <w:rPr>
          <w:bCs/>
          <w:b/>
        </w:rPr>
        <w:t xml:space="preserve">Optimize Use Phase Efficiency:</w:t>
      </w:r>
      <w:r>
        <w:t xml:space="preserve"> </w:t>
      </w:r>
      <w:r>
        <w:t xml:space="preserve">Focus on designing more energy-efficient products to reduce lifetime electricity consumption (e.g., lower power modes, more efficient components).</w:t>
      </w:r>
    </w:p>
    <w:p>
      <w:pPr>
        <w:numPr>
          <w:ilvl w:val="0"/>
          <w:numId w:val="1021"/>
        </w:numPr>
        <w:pStyle w:val="Compact"/>
      </w:pPr>
      <w:r>
        <w:rPr>
          <w:bCs/>
          <w:b/>
        </w:rPr>
        <w:t xml:space="preserve">Source Low-Carbon Materials:</w:t>
      </w:r>
      <w:r>
        <w:t xml:space="preserve"> </w:t>
      </w:r>
      <w:r>
        <w:t xml:space="preserve">Explore suppliers offering materials with lower embodied carbon, especially for components like aluminum and circuit boards. Increase the use of recycled content in materials where possible.</w:t>
      </w:r>
    </w:p>
    <w:p>
      <w:pPr>
        <w:numPr>
          <w:ilvl w:val="0"/>
          <w:numId w:val="1021"/>
        </w:numPr>
        <w:pStyle w:val="Compact"/>
      </w:pPr>
      <w:r>
        <w:rPr>
          <w:bCs/>
          <w:b/>
        </w:rPr>
        <w:t xml:space="preserve">Enhance Circularity:</w:t>
      </w:r>
      <w:r>
        <w:t xml:space="preserve"> </w:t>
      </w:r>
      <w:r>
        <w:t xml:space="preserve">Further invest in and promote take-back and recycling programs to maximize material recovery and avoided emissions. Improve design for disassembly to facilitate recycling.</w:t>
      </w:r>
    </w:p>
    <w:p>
      <w:pPr>
        <w:numPr>
          <w:ilvl w:val="0"/>
          <w:numId w:val="1021"/>
        </w:numPr>
        <w:pStyle w:val="Compact"/>
      </w:pPr>
      <w:r>
        <w:rPr>
          <w:bCs/>
          <w:b/>
        </w:rPr>
        <w:t xml:space="preserve">Supply Chain Engagement:</w:t>
      </w:r>
      <w:r>
        <w:t xml:space="preserve"> </w:t>
      </w:r>
      <w:r>
        <w:t xml:space="preserve">Work with transport providers to optimize routes, utilize more efficient modes, and explore renewable fuel options.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qyfipdxpdl</dc:title>
  <dc:creator/>
  <dc:description>High-detail Product Carbon Footprint (PCF) analysis for product qyfipdxpdl by Senior Sustainability Consultant mpoeohyofk, adhering to GHG Protocol and 2026 LSR Update.</dc:description>
  <dc:language>en</dc:language>
  <cp:keywords/>
  <dcterms:created xsi:type="dcterms:W3CDTF">2026-07-15T01:30:33Z</dcterms:created>
  <dcterms:modified xsi:type="dcterms:W3CDTF">2026-07-15T01:30:33Z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