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qydtkynjsm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qydtkynjsm</w:t>
      </w:r>
    </w:p>
    <w:p>
      <w:pPr>
        <w:pStyle w:val="BodyText"/>
      </w:pPr>
      <w:r>
        <w:t xml:space="preserve">Company: mwsjrpoqsk</w:t>
      </w:r>
    </w:p>
    <w:p>
      <w:pPr>
        <w:pStyle w:val="BodyText"/>
      </w:pPr>
      <w:r>
        <w:t xml:space="preserve">Senior Sustainability Consultant: ftwxuvpueo</w:t>
      </w:r>
    </w:p>
    <w:p>
      <w:pPr>
        <w:pStyle w:val="BodyText"/>
      </w:pPr>
      <w:r>
        <w:t xml:space="preserve">Accounting Standard: GHG Protocol</w:t>
      </w:r>
    </w:p>
    <w:p>
      <w:pPr>
        <w:pStyle w:val="BodyText"/>
      </w:pPr>
      <w:r>
        <w:t xml:space="preserve">Disclaimer: This report is generated based on available data and industry standards, incorporating illustrative data where specific inputs were provided as placeholders. Actual results may vary with primary data.</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qydtkynjsm</w:t>
      </w:r>
    </w:p>
    <w:p>
      <w:pPr>
        <w:pStyle w:val="BodyText"/>
      </w:pPr>
      <w:r>
        <w:rPr>
          <w:bCs/>
          <w:b/>
        </w:rPr>
        <w:t xml:space="preserve">Company Name:</w:t>
      </w:r>
      <w:r>
        <w:t xml:space="preserve"> </w:t>
      </w:r>
      <w:r>
        <w:t xml:space="preserve">mwsjrpoqsk</w:t>
      </w:r>
    </w:p>
    <w:p>
      <w:pPr>
        <w:pStyle w:val="BodyText"/>
      </w:pPr>
      <w:r>
        <w:rPr>
          <w:bCs/>
          <w:b/>
        </w:rPr>
        <w:t xml:space="preserve">Senior Sustainability Consultant:</w:t>
      </w:r>
      <w:r>
        <w:t xml:space="preserve"> </w:t>
      </w:r>
      <w:r>
        <w:t xml:space="preserve">ftwxuvpueo</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qydtkynjsm, manufactured by mwsjrpoqsk. The analysis was conducted by ftwxuvpueo, a Senior Sustainability Consultant specializing in the GHG Protocol. The objective was to quantify the greenhouse gas (GHG) emissions associated with the product\'s entire lifecycle, from material acquisition to end-of-life, adhering strictly to the GHG Protocol\'s Corporate Value Chain (Scope 3) Accounting and Reporting Standard and the 2026 Land Sector and Removals (LSR) update. The total Product Carbon Footprint for one functional unit of qydtkynjsm is calculated to be **53.74 kg CO2e**. The use phase accounts for the largest share of emissions, highlighting it as a significant hotspot for reduction efforts.</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scope of this Product Carbon Footprint (PCF) analysis for qydtkynjsm is defined as follows:</w:t>
      </w:r>
    </w:p>
    <w:p>
      <w:pPr>
        <w:numPr>
          <w:ilvl w:val="0"/>
          <w:numId w:val="1001"/>
        </w:numPr>
        <w:pStyle w:val="Compact"/>
      </w:pPr>
      <w:r>
        <w:rPr>
          <w:bCs/>
          <w:b/>
        </w:rPr>
        <w:t xml:space="preserve">Functional Unit:</w:t>
      </w:r>
      <w:r>
        <w:t xml:space="preserve"> </w:t>
      </w:r>
      <w:r>
        <w:t xml:space="preserve">1.0 unit of qydtkynjsm.</w:t>
      </w:r>
    </w:p>
    <w:p>
      <w:pPr>
        <w:numPr>
          <w:ilvl w:val="0"/>
          <w:numId w:val="1001"/>
        </w:numPr>
        <w:pStyle w:val="Compact"/>
      </w:pPr>
      <w:r>
        <w:rPr>
          <w:bCs/>
          <w:b/>
        </w:rPr>
        <w:t xml:space="preserve">System Boundary:</w:t>
      </w:r>
      <w:r>
        <w:t xml:space="preserve"> </w:t>
      </w:r>
      <w:r>
        <w:t xml:space="preserve">Cradle-to-grave, with a primary focus on the \'factory_gate\' for production emissions, extending to the use and end-of-life phases.</w:t>
      </w:r>
    </w:p>
    <w:p>
      <w:pPr>
        <w:numPr>
          <w:ilvl w:val="0"/>
          <w:numId w:val="1001"/>
        </w:numPr>
        <w:pStyle w:val="Compact"/>
      </w:pPr>
      <w:r>
        <w:rPr>
          <w:bCs/>
          <w:b/>
        </w:rPr>
        <w:t xml:space="preserve">Geographic Scope:</w:t>
      </w:r>
      <w:r>
        <w:t xml:space="preserve"> </w:t>
      </w:r>
      <w:r>
        <w:t xml:space="preserve">Final Production Country: China, with a Supply Chain Focus on Europe for downstream distribution and product use.</w:t>
      </w:r>
    </w:p>
    <w:p>
      <w:pPr>
        <w:numPr>
          <w:ilvl w:val="0"/>
          <w:numId w:val="1001"/>
        </w:numPr>
        <w:pStyle w:val="Compact"/>
      </w:pPr>
      <w:r>
        <w:rPr>
          <w:bCs/>
          <w:b/>
        </w:rPr>
        <w:t xml:space="preserve">Allocation:</w:t>
      </w:r>
      <w:r>
        <w:t xml:space="preserve"> </w:t>
      </w:r>
      <w:r>
        <w:t xml:space="preserve">Direct allocation has been applied, as the analysis focuses on a single product.</w:t>
      </w:r>
    </w:p>
    <w:p>
      <w:pPr>
        <w:numPr>
          <w:ilvl w:val="0"/>
          <w:numId w:val="1001"/>
        </w:numPr>
        <w:pStyle w:val="Compact"/>
      </w:pPr>
      <w:r>
        <w:rPr>
          <w:bCs/>
          <w:b/>
        </w:rPr>
        <w:t xml:space="preserve">Accounting Standard:</w:t>
      </w:r>
      <w:r>
        <w:t xml:space="preserve"> </w:t>
      </w:r>
      <w:r>
        <w:t xml:space="preserve">This analysis rigorously adheres to the GHG Protocol\'s Corporate Value Chain (Scope 3) Accounting and Reporting Standard.</w:t>
      </w:r>
    </w:p>
    <w:bookmarkEnd w:id="23"/>
    <w:p>
      <w:r>
        <w:pict>
          <v:rect style="width:0;height:1.5pt" o:hralign="center" o:hrstd="t" o:hr="t"/>
        </w:pict>
      </w:r>
    </w:p>
    <w:bookmarkStart w:id="29" w:name="X07cf0ea829f60a4f8fa47c00f72a11793fbe483"/>
    <w:p>
      <w:pPr>
        <w:pStyle w:val="Heading2"/>
      </w:pPr>
      <w:r>
        <w:t xml:space="preserve">2. Lifecycle Mapping (LCI Inventory Stages) &amp; 3. Data Collection</w:t>
      </w:r>
    </w:p>
    <w:p>
      <w:pPr>
        <w:pStyle w:val="FirstParagraph"/>
      </w:pPr>
      <w:r>
        <w:t xml:space="preserve">The lifecycle of qydtkynjsm has been mapped across key stages, and data has been collected (or illustratively assumed where specific data was provided as a placeholder) for each stage to compile the Life Cycle Inventory (LCI). Emission factors used are illustrative, referencing industry standards from sources like Ecoinvent and DEFRA where applicable.</w:t>
      </w:r>
    </w:p>
    <w:bookmarkStart w:id="24" w:name="X0ed6478cc75666847720fb0e4c2bfaba50a2a54"/>
    <w:p>
      <w:pPr>
        <w:pStyle w:val="Heading3"/>
      </w:pPr>
      <w:r>
        <w:t xml:space="preserve">Detailed Bill of Materials (BOM) &amp; Material Inputs (Scope 3 - Category 1: Purchased goods and services)</w:t>
      </w:r>
    </w:p>
    <w:p>
      <w:pPr>
        <w:pStyle w:val="FirstParagraph"/>
      </w:pPr>
      <w:r>
        <w:t xml:space="preserve">The Detailed Bill of Materials (BOM) was critical for high-accuracy material impact calculation.</w:t>
      </w:r>
      <w:r>
        <w:br/>
      </w:r>
      <w:r>
        <w:rPr>
          <w:iCs/>
          <w:i/>
        </w:rPr>
        <w:t xml:space="preserve">Note: The parameter \'himhoins\' was provided as a placeholder string. For this report, illustrative BOM data, adhering to the specified format (ID, Description, Category, Process, Qty, Unit, Emission Factor, Total Carbon), has been used for calculation purposes. The "Total Carbon" figures directly represent the pre-calculated CO2e for each material, simplifying the upstream emissions for this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004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rPr>
                <w:bCs/>
                <w:b/>
              </w:rPr>
              <w:t xml:space="preserve">Total Material Footprint:</w:t>
            </w:r>
          </w:p>
        </w:tc>
        <w:tc>
          <w:tcPr/>
          <w:p>
            <w:pPr>
              <w:pStyle w:val="Compact"/>
              <w:jc w:val="left"/>
            </w:pPr>
            <w:r>
              <w:rPr>
                <w:bCs/>
                <w:b/>
              </w:rPr>
              <w:t xml:space="preserve">6.23 kg CO2e</w:t>
            </w:r>
          </w:p>
        </w:tc>
      </w:tr>
    </w:tbl>
    <w:bookmarkEnd w:id="24"/>
    <w:bookmarkStart w:id="25" w:name="X556c65936ff3d30963299b437e3dc51154bac24"/>
    <w:p>
      <w:pPr>
        <w:pStyle w:val="Heading3"/>
      </w:pPr>
      <w:r>
        <w:t xml:space="preserve">Production Energy Inputs (Scope 2: Purchased electricity)</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Renewable Energy Usage:</w:t>
      </w:r>
      <w:r>
        <w:t xml:space="preserve"> </w:t>
      </w:r>
      <w:r>
        <w:t xml:space="preserve">`zndyjfzwor` (Illustrative: 70%)</w:t>
      </w:r>
    </w:p>
    <w:p>
      <w:pPr>
        <w:numPr>
          <w:ilvl w:val="0"/>
          <w:numId w:val="1002"/>
        </w:numPr>
        <w:pStyle w:val="Compact"/>
      </w:pPr>
      <w:r>
        <w:rPr>
          <w:bCs/>
          <w:b/>
        </w:rPr>
        <w:t xml:space="preserve">Energy Intensity (kWh/unit):</w:t>
      </w:r>
      <w:r>
        <w:t xml:space="preserve"> </w:t>
      </w:r>
      <w:r>
        <w:t xml:space="preserve">`gsktdjkudi` (Illustrative: 12 kWh/unit)</w:t>
      </w:r>
    </w:p>
    <w:p>
      <w:pPr>
        <w:numPr>
          <w:ilvl w:val="0"/>
          <w:numId w:val="1002"/>
        </w:numPr>
        <w:pStyle w:val="Compact"/>
      </w:pPr>
      <w:r>
        <w:rPr>
          <w:bCs/>
          <w:b/>
        </w:rPr>
        <w:t xml:space="preserve">Non-renewable electricity consumed:</w:t>
      </w:r>
      <w:r>
        <w:t xml:space="preserve"> </w:t>
      </w:r>
      <w:r>
        <w:t xml:space="preserve">12 kWh * (1 - 0.70) = 3.6 kWh/unit</w:t>
      </w:r>
    </w:p>
    <w:p>
      <w:pPr>
        <w:numPr>
          <w:ilvl w:val="0"/>
          <w:numId w:val="1002"/>
        </w:numPr>
        <w:pStyle w:val="Compact"/>
      </w:pPr>
      <w:r>
        <w:rPr>
          <w:bCs/>
          <w:b/>
        </w:rPr>
        <w:t xml:space="preserve">Chinese Grid Electricity Emission Factor:</w:t>
      </w:r>
      <w:r>
        <w:t xml:space="preserve"> </w:t>
      </w:r>
      <w:r>
        <w:t xml:space="preserve">0.581 kg CO2e/kWh (2023 average for China)</w:t>
      </w:r>
    </w:p>
    <w:bookmarkEnd w:id="25"/>
    <w:bookmarkStart w:id="26" w:name="X246b00881b08e3c2aa7e492b1c27447ab7e8f30"/>
    <w:p>
      <w:pPr>
        <w:pStyle w:val="Heading3"/>
      </w:pPr>
      <w:r>
        <w:t xml:space="preserve">Logistics Data (Scope 3 - Category 9: Downstream transportation and distribution)</w:t>
      </w:r>
    </w:p>
    <w:p>
      <w:pPr>
        <w:numPr>
          <w:ilvl w:val="0"/>
          <w:numId w:val="1003"/>
        </w:numPr>
        <w:pStyle w:val="Compact"/>
      </w:pPr>
      <w:r>
        <w:rPr>
          <w:bCs/>
          <w:b/>
        </w:rPr>
        <w:t xml:space="preserve">Transport Mode:</w:t>
      </w:r>
      <w:r>
        <w:t xml:space="preserve"> </w:t>
      </w:r>
      <w:r>
        <w:t xml:space="preserve">`Select Mode` (Illustrative: Road Freight - Heavy Duty Truck)</w:t>
      </w:r>
    </w:p>
    <w:p>
      <w:pPr>
        <w:numPr>
          <w:ilvl w:val="0"/>
          <w:numId w:val="1003"/>
        </w:numPr>
        <w:pStyle w:val="Compact"/>
      </w:pPr>
      <w:r>
        <w:rPr>
          <w:bCs/>
          <w:b/>
        </w:rPr>
        <w:t xml:space="preserve">Transport Distance:</w:t>
      </w:r>
      <w:r>
        <w:t xml:space="preserve"> </w:t>
      </w:r>
      <w:r>
        <w:t xml:space="preserve">`gmkidlxyxo` (Illustrative: 2000 km)</w:t>
      </w:r>
    </w:p>
    <w:p>
      <w:pPr>
        <w:numPr>
          <w:ilvl w:val="0"/>
          <w:numId w:val="1003"/>
        </w:numPr>
        <w:pStyle w:val="Compact"/>
      </w:pPr>
      <w:r>
        <w:rPr>
          <w:bCs/>
          <w:b/>
        </w:rPr>
        <w:t xml:space="preserve">Last-Mile Delivery Channel:</w:t>
      </w:r>
      <w:r>
        <w:t xml:space="preserve"> </w:t>
      </w:r>
      <w:r>
        <w:t xml:space="preserve">`Delivery Type` (Illustrative: Van Delivery)</w:t>
      </w:r>
    </w:p>
    <w:p>
      <w:pPr>
        <w:numPr>
          <w:ilvl w:val="0"/>
          <w:numId w:val="1003"/>
        </w:numPr>
        <w:pStyle w:val="Compact"/>
      </w:pPr>
      <w:r>
        <w:rPr>
          <w:bCs/>
          <w:b/>
        </w:rPr>
        <w:t xml:space="preserve">Assumed Product Weight for Transport:</w:t>
      </w:r>
      <w:r>
        <w:t xml:space="preserve"> </w:t>
      </w:r>
      <w:r>
        <w:t xml:space="preserve">0.9 kg/unit (sum of illustrative BOM item quantities)</w:t>
      </w:r>
    </w:p>
    <w:p>
      <w:pPr>
        <w:numPr>
          <w:ilvl w:val="0"/>
          <w:numId w:val="1003"/>
        </w:numPr>
        <w:pStyle w:val="Compact"/>
      </w:pPr>
      <w:r>
        <w:rPr>
          <w:bCs/>
          <w:b/>
        </w:rPr>
        <w:t xml:space="preserve">Road Freight Emission Factor:</w:t>
      </w:r>
      <w:r>
        <w:t xml:space="preserve"> </w:t>
      </w:r>
      <w:r>
        <w:t xml:space="preserve">0.1 kg CO2e/tkm (illustrative for heavy-duty truck)</w:t>
      </w:r>
    </w:p>
    <w:p>
      <w:pPr>
        <w:numPr>
          <w:ilvl w:val="0"/>
          <w:numId w:val="1003"/>
        </w:numPr>
        <w:pStyle w:val="Compact"/>
      </w:pPr>
      <w:r>
        <w:rPr>
          <w:bCs/>
          <w:b/>
        </w:rPr>
        <w:t xml:space="preserve">Van Delivery Emission Factor:</w:t>
      </w:r>
      <w:r>
        <w:t xml:space="preserve"> </w:t>
      </w:r>
      <w:r>
        <w:t xml:space="preserve">0.2 kg CO2e/tkm (illustrative for last-mile delivery)</w:t>
      </w:r>
    </w:p>
    <w:bookmarkEnd w:id="26"/>
    <w:bookmarkStart w:id="27" w:name="Xc1220340f65f666a7dfe1562a4214465cd58a13"/>
    <w:p>
      <w:pPr>
        <w:pStyle w:val="Heading3"/>
      </w:pPr>
      <w:r>
        <w:t xml:space="preserve">Use Phase Data (Scope 3 - Category 11: Use of sold products)</w:t>
      </w:r>
    </w:p>
    <w:p>
      <w:pPr>
        <w:numPr>
          <w:ilvl w:val="0"/>
          <w:numId w:val="1004"/>
        </w:numPr>
        <w:pStyle w:val="Compact"/>
      </w:pPr>
      <w:r>
        <w:rPr>
          <w:bCs/>
          <w:b/>
        </w:rPr>
        <w:t xml:space="preserve">Product Lifespan:</w:t>
      </w:r>
      <w:r>
        <w:t xml:space="preserve"> </w:t>
      </w:r>
      <w:r>
        <w:t xml:space="preserve">`pvnsodsqnd` (Illustrative: 4 years)</w:t>
      </w:r>
    </w:p>
    <w:p>
      <w:pPr>
        <w:numPr>
          <w:ilvl w:val="0"/>
          <w:numId w:val="1004"/>
        </w:numPr>
        <w:pStyle w:val="Compact"/>
      </w:pPr>
      <w:r>
        <w:rPr>
          <w:bCs/>
          <w:b/>
        </w:rPr>
        <w:t xml:space="preserve">Energy Consumption in Use:</w:t>
      </w:r>
      <w:r>
        <w:t xml:space="preserve"> </w:t>
      </w:r>
      <w:r>
        <w:t xml:space="preserve">`kfrnyhskql` (Illustrative: 25 kWh/year)</w:t>
      </w:r>
    </w:p>
    <w:p>
      <w:pPr>
        <w:numPr>
          <w:ilvl w:val="0"/>
          <w:numId w:val="1004"/>
        </w:numPr>
        <w:pStyle w:val="Compact"/>
      </w:pPr>
      <w:r>
        <w:rPr>
          <w:bCs/>
          <w:b/>
        </w:rPr>
        <w:t xml:space="preserve">Total Energy Consumption over Lifespan:</w:t>
      </w:r>
      <w:r>
        <w:t xml:space="preserve"> </w:t>
      </w:r>
      <w:r>
        <w:t xml:space="preserve">100 kWh/unit</w:t>
      </w:r>
    </w:p>
    <w:p>
      <w:pPr>
        <w:numPr>
          <w:ilvl w:val="0"/>
          <w:numId w:val="1004"/>
        </w:numPr>
        <w:pStyle w:val="Compact"/>
      </w:pPr>
      <w:r>
        <w:rPr>
          <w:bCs/>
          <w:b/>
        </w:rPr>
        <w:t xml:space="preserve">European Grid Electricity Emission Factor:</w:t>
      </w:r>
      <w:r>
        <w:t xml:space="preserve"> </w:t>
      </w:r>
      <w:r>
        <w:t xml:space="preserve">0.450 kg CO2e/kWh (illustrative, based on reported trends in Europe for 2024 residual mixes)</w:t>
      </w:r>
    </w:p>
    <w:bookmarkEnd w:id="27"/>
    <w:bookmarkStart w:id="28" w:name="X476d265adbb735fcd21601fcf5c7b4762da0b15"/>
    <w:p>
      <w:pPr>
        <w:pStyle w:val="Heading3"/>
      </w:pPr>
      <w:r>
        <w:t xml:space="preserve">End-of-Life (EoL) Scenarios (Scope 3 - Category 12: End-of-life treatment of sold products)</w:t>
      </w:r>
    </w:p>
    <w:p>
      <w:pPr>
        <w:numPr>
          <w:ilvl w:val="0"/>
          <w:numId w:val="1005"/>
        </w:numPr>
        <w:pStyle w:val="Compact"/>
      </w:pPr>
      <w:r>
        <w:rPr>
          <w:bCs/>
          <w:b/>
        </w:rPr>
        <w:t xml:space="preserve">Recyclability Percentage:</w:t>
      </w:r>
      <w:r>
        <w:t xml:space="preserve"> </w:t>
      </w:r>
      <w:r>
        <w:t xml:space="preserve">`pulwwmxeen` (Illustrative: 75%)</w:t>
      </w:r>
    </w:p>
    <w:p>
      <w:pPr>
        <w:numPr>
          <w:ilvl w:val="0"/>
          <w:numId w:val="1005"/>
        </w:numPr>
        <w:pStyle w:val="Compact"/>
      </w:pPr>
      <w:r>
        <w:rPr>
          <w:bCs/>
          <w:b/>
        </w:rPr>
        <w:t xml:space="preserve">Circular/Take-back Programs:</w:t>
      </w:r>
      <w:r>
        <w:t xml:space="preserve"> </w:t>
      </w:r>
      <w:r>
        <w:t xml:space="preserve">`uzghskohvz` (Existence of programs acknowledged; quantification of avoided emissions typically upstream with recycled content)</w:t>
      </w:r>
    </w:p>
    <w:p>
      <w:pPr>
        <w:numPr>
          <w:ilvl w:val="0"/>
          <w:numId w:val="1005"/>
        </w:numPr>
        <w:pStyle w:val="Compact"/>
      </w:pPr>
      <w:r>
        <w:rPr>
          <w:bCs/>
          <w:b/>
        </w:rPr>
        <w:t xml:space="preserve">Non-recyclable portion for disposal:</w:t>
      </w:r>
      <w:r>
        <w:t xml:space="preserve"> </w:t>
      </w:r>
      <w:r>
        <w:t xml:space="preserve">25% of total product weight</w:t>
      </w:r>
    </w:p>
    <w:p>
      <w:pPr>
        <w:numPr>
          <w:ilvl w:val="0"/>
          <w:numId w:val="1005"/>
        </w:numPr>
        <w:pStyle w:val="Compact"/>
      </w:pPr>
      <w:r>
        <w:rPr>
          <w:bCs/>
          <w:b/>
        </w:rPr>
        <w:t xml:space="preserve">Illustrative Disposal Emission Factor (Landfill/Incineration):</w:t>
      </w:r>
      <w:r>
        <w:t xml:space="preserve"> </w:t>
      </w:r>
      <w:r>
        <w:t xml:space="preserve">1.0 kg CO2e/kg (for mixed residual waste)</w:t>
      </w:r>
    </w:p>
    <w:bookmarkEnd w:id="28"/>
    <w:bookmarkEnd w:id="29"/>
    <w:p>
      <w:r>
        <w:pict>
          <v:rect style="width:0;height:1.5pt" o:hralign="center" o:hrstd="t" o:hr="t"/>
        </w:pict>
      </w:r>
    </w:p>
    <w:bookmarkStart w:id="37"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 Scope 1, 2, and 3.</w:t>
      </w:r>
    </w:p>
    <w:bookmarkStart w:id="30" w:name="X42207a3b118c4bb557ad6164281ff3312d34790"/>
    <w:p>
      <w:pPr>
        <w:pStyle w:val="Heading3"/>
      </w:pPr>
      <w:r>
        <w:t xml:space="preserve">Summary of Product Carbon Footprint for qydtkynjsm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CO2e Emissions (kg)</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6.23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2.09</w:t>
            </w:r>
          </w:p>
        </w:tc>
      </w:tr>
      <w:tr>
        <w:tc>
          <w:tcPr/>
          <w:p>
            <w:pPr>
              <w:pStyle w:val="Compact"/>
              <w:jc w:val="left"/>
            </w:pPr>
            <w:r>
              <w:t xml:space="preserve">Transportation (Main Distribution)</w:t>
            </w:r>
          </w:p>
        </w:tc>
        <w:tc>
          <w:tcPr/>
          <w:p>
            <w:pPr>
              <w:pStyle w:val="Compact"/>
              <w:jc w:val="left"/>
            </w:pPr>
            <w:r>
              <w:t xml:space="preserve">Scope 3, Category 9</w:t>
            </w:r>
          </w:p>
        </w:tc>
        <w:tc>
          <w:tcPr/>
          <w:p>
            <w:pPr>
              <w:pStyle w:val="Compact"/>
              <w:jc w:val="left"/>
            </w:pPr>
            <w:r>
              <w:t xml:space="preserve">0.18</w:t>
            </w:r>
          </w:p>
        </w:tc>
      </w:tr>
      <w:tr>
        <w:tc>
          <w:tcPr/>
          <w:p>
            <w:pPr>
              <w:pStyle w:val="Compact"/>
              <w:jc w:val="left"/>
            </w:pPr>
            <w:r>
              <w:t xml:space="preserve">Transportation (Last-Mile Delivery)</w:t>
            </w:r>
          </w:p>
        </w:tc>
        <w:tc>
          <w:tcPr/>
          <w:p>
            <w:pPr>
              <w:pStyle w:val="Compact"/>
              <w:jc w:val="left"/>
            </w:pPr>
            <w:r>
              <w:t xml:space="preserve">Scope 3, Category 9</w:t>
            </w:r>
          </w:p>
        </w:tc>
        <w:tc>
          <w:tcPr/>
          <w:p>
            <w:pPr>
              <w:pStyle w:val="Compact"/>
              <w:jc w:val="left"/>
            </w:pPr>
            <w:r>
              <w:t xml:space="preserve">0.01</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45.00</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0.23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53.74 kg CO2e</w:t>
            </w:r>
          </w:p>
        </w:tc>
      </w:tr>
    </w:tbl>
    <w:bookmarkEnd w:id="30"/>
    <w:bookmarkStart w:id="34" w:name="detailed-emissions-breakdown-by-scope"/>
    <w:p>
      <w:pPr>
        <w:pStyle w:val="Heading3"/>
      </w:pPr>
      <w:r>
        <w:t xml:space="preserve">Detailed Emissions Breakdown by Scope</w:t>
      </w:r>
    </w:p>
    <w:bookmarkStart w:id="31" w:name="scope-1-emissions-direct-emissions"/>
    <w:p>
      <w:pPr>
        <w:pStyle w:val="Heading4"/>
      </w:pPr>
      <w:r>
        <w:t xml:space="preserve">Scope 1 Emissions (Direct Emissions)</w:t>
      </w:r>
    </w:p>
    <w:p>
      <w:pPr>
        <w:pStyle w:val="FirstParagraph"/>
      </w:pPr>
      <w:r>
        <w:t xml:space="preserve">For qydtkynjsm, direct GHG emissions from owned or controlled sources (e.g., on-site fuel combustion for manufacturing processes) are assumed to be negligible in this product-level analysis given the provided parameters. If specific direct process emissions or refrigerants were utilized, these would be quantified here.</w:t>
      </w:r>
    </w:p>
    <w:p>
      <w:pPr>
        <w:numPr>
          <w:ilvl w:val="0"/>
          <w:numId w:val="1006"/>
        </w:numPr>
        <w:pStyle w:val="Compact"/>
      </w:pPr>
      <w:r>
        <w:rPr>
          <w:bCs/>
          <w:b/>
        </w:rPr>
        <w:t xml:space="preserve">Total Scope 1 Emissions:</w:t>
      </w:r>
      <w:r>
        <w:t xml:space="preserve"> </w:t>
      </w:r>
      <w:r>
        <w:t xml:space="preserve">0.00 kg CO2e</w:t>
      </w:r>
    </w:p>
    <w:bookmarkEnd w:id="31"/>
    <w:bookmarkStart w:id="32" w:name="scope-2-emissions-purchased-electricity"/>
    <w:p>
      <w:pPr>
        <w:pStyle w:val="Heading4"/>
      </w:pPr>
      <w:r>
        <w:t xml:space="preserve">Scope 2 Emissions (Purchased Electricity)</w:t>
      </w:r>
    </w:p>
    <w:p>
      <w:pPr>
        <w:pStyle w:val="FirstParagraph"/>
      </w:pPr>
      <w:r>
        <w:t xml:space="preserve">These are indirect emissions from the generation of purchased electricity consumed by mwsjrpoqsk during the manufacturing of qydtkynjsm.</w:t>
      </w:r>
    </w:p>
    <w:p>
      <w:pPr>
        <w:numPr>
          <w:ilvl w:val="0"/>
          <w:numId w:val="1007"/>
        </w:numPr>
        <w:pStyle w:val="Compact"/>
      </w:pPr>
      <w:r>
        <w:t xml:space="preserve">Total electricity consumed (non-renewable): 3.6 kWh/unit</w:t>
      </w:r>
    </w:p>
    <w:p>
      <w:pPr>
        <w:numPr>
          <w:ilvl w:val="0"/>
          <w:numId w:val="1007"/>
        </w:numPr>
        <w:pStyle w:val="Compact"/>
      </w:pPr>
      <w:r>
        <w:t xml:space="preserve">Emission factor (China grid average): 0.581 kg CO2e/kWh</w:t>
      </w:r>
    </w:p>
    <w:p>
      <w:pPr>
        <w:numPr>
          <w:ilvl w:val="0"/>
          <w:numId w:val="1007"/>
        </w:numPr>
        <w:pStyle w:val="Compact"/>
      </w:pPr>
      <w:r>
        <w:t xml:space="preserve">Calculation: 3.6 kWh * 0.581 kg CO2e/kWh = 2.0916 kg CO2e</w:t>
      </w:r>
    </w:p>
    <w:p>
      <w:pPr>
        <w:numPr>
          <w:ilvl w:val="0"/>
          <w:numId w:val="1007"/>
        </w:numPr>
        <w:pStyle w:val="Compact"/>
      </w:pPr>
      <w:r>
        <w:rPr>
          <w:bCs/>
          <w:b/>
        </w:rPr>
        <w:t xml:space="preserve">Total Scope 2 Emissions:</w:t>
      </w:r>
      <w:r>
        <w:t xml:space="preserve"> </w:t>
      </w:r>
      <w:r>
        <w:t xml:space="preserve">2.09 kg CO2e</w:t>
      </w:r>
    </w:p>
    <w:bookmarkEnd w:id="32"/>
    <w:bookmarkStart w:id="33" w:name="scope-3-emissions-value-chain-emissions"/>
    <w:p>
      <w:pPr>
        <w:pStyle w:val="Heading4"/>
      </w:pPr>
      <w:r>
        <w:t xml:space="preserve">Scope 3 Emissions (Value Chain Emissions)</w:t>
      </w:r>
    </w:p>
    <w:p>
      <w:pPr>
        <w:pStyle w:val="FirstParagraph"/>
      </w:pPr>
      <w:r>
        <w:t xml:space="preserve">Scope 3 emissions are all other indirect emissions that occur in the value chain of mwsjrpoqsk, both upstream and downstream.</w:t>
      </w:r>
    </w:p>
    <w:p>
      <w:pPr>
        <w:numPr>
          <w:ilvl w:val="0"/>
          <w:numId w:val="1008"/>
        </w:numPr>
        <w:pStyle w:val="Compact"/>
      </w:pPr>
      <w:r>
        <w:rPr>
          <w:bCs/>
          <w:b/>
        </w:rPr>
        <w:t xml:space="preserve">Category 1: Purchased Goods and Services (Materials Acquisition &amp; Pre-processing)</w:t>
      </w:r>
    </w:p>
    <w:p>
      <w:pPr>
        <w:numPr>
          <w:ilvl w:val="1"/>
          <w:numId w:val="1009"/>
        </w:numPr>
        <w:pStyle w:val="Compact"/>
      </w:pPr>
      <w:r>
        <w:t xml:space="preserve">Emissions directly from illustrative BOM: 6.23 kg CO2e</w:t>
      </w:r>
    </w:p>
    <w:p>
      <w:pPr>
        <w:numPr>
          <w:ilvl w:val="0"/>
          <w:numId w:val="1008"/>
        </w:numPr>
        <w:pStyle w:val="Compact"/>
      </w:pPr>
      <w:r>
        <w:rPr>
          <w:bCs/>
          <w:b/>
        </w:rPr>
        <w:t xml:space="preserve">Category 9: Downstream Transportation and Distribution</w:t>
      </w:r>
    </w:p>
    <w:p>
      <w:pPr>
        <w:numPr>
          <w:ilvl w:val="1"/>
          <w:numId w:val="1010"/>
        </w:numPr>
        <w:pStyle w:val="Compact"/>
      </w:pPr>
      <w:r>
        <w:t xml:space="preserve">Main Distribution: (0.9 kg / 1000 kg/tonne) * 2000 km * 0.1 kg CO2e/tkm = 0.18 kg CO2e</w:t>
      </w:r>
    </w:p>
    <w:p>
      <w:pPr>
        <w:numPr>
          <w:ilvl w:val="1"/>
          <w:numId w:val="1010"/>
        </w:numPr>
        <w:pStyle w:val="Compact"/>
      </w:pPr>
      <w:r>
        <w:t xml:space="preserve">Last-Mile Delivery: (0.9 kg / 1000 kg/tonne) * 50 km * 0.2 kg CO2e/tkm = 0.009 kg CO2e</w:t>
      </w:r>
    </w:p>
    <w:p>
      <w:pPr>
        <w:numPr>
          <w:ilvl w:val="1"/>
          <w:numId w:val="1010"/>
        </w:numPr>
        <w:pStyle w:val="Compact"/>
      </w:pPr>
      <w:r>
        <w:t xml:space="preserve">Total: 0.18 + 0.009 = 0.189 kg CO2e</w:t>
      </w:r>
    </w:p>
    <w:p>
      <w:pPr>
        <w:numPr>
          <w:ilvl w:val="0"/>
          <w:numId w:val="1008"/>
        </w:numPr>
        <w:pStyle w:val="Compact"/>
      </w:pPr>
      <w:r>
        <w:rPr>
          <w:bCs/>
          <w:b/>
        </w:rPr>
        <w:t xml:space="preserve">Category 11: Use of Sold Products</w:t>
      </w:r>
    </w:p>
    <w:p>
      <w:pPr>
        <w:numPr>
          <w:ilvl w:val="1"/>
          <w:numId w:val="1011"/>
        </w:numPr>
        <w:pStyle w:val="Compact"/>
      </w:pPr>
      <w:r>
        <w:t xml:space="preserve">Total energy consumption over lifespan: 100 kWh/unit</w:t>
      </w:r>
    </w:p>
    <w:p>
      <w:pPr>
        <w:numPr>
          <w:ilvl w:val="1"/>
          <w:numId w:val="1011"/>
        </w:numPr>
        <w:pStyle w:val="Compact"/>
      </w:pPr>
      <w:r>
        <w:t xml:space="preserve">Emission factor (European grid average): 0.450 kg CO2e/kWh</w:t>
      </w:r>
    </w:p>
    <w:p>
      <w:pPr>
        <w:numPr>
          <w:ilvl w:val="1"/>
          <w:numId w:val="1011"/>
        </w:numPr>
        <w:pStyle w:val="Compact"/>
      </w:pPr>
      <w:r>
        <w:t xml:space="preserve">Calculation: 100 kWh * 0.450 kg CO2e/kWh = 45.00 kg CO2e</w:t>
      </w:r>
    </w:p>
    <w:p>
      <w:pPr>
        <w:numPr>
          <w:ilvl w:val="0"/>
          <w:numId w:val="1008"/>
        </w:numPr>
        <w:pStyle w:val="Compact"/>
      </w:pPr>
      <w:r>
        <w:rPr>
          <w:bCs/>
          <w:b/>
        </w:rPr>
        <w:t xml:space="preserve">Category 12: End-of-Life Treatment of Sold Products</w:t>
      </w:r>
    </w:p>
    <w:p>
      <w:pPr>
        <w:numPr>
          <w:ilvl w:val="1"/>
          <w:numId w:val="1012"/>
        </w:numPr>
        <w:pStyle w:val="Compact"/>
      </w:pPr>
      <w:r>
        <w:t xml:space="preserve">Weight of non-recycled waste: 0.225 kg</w:t>
      </w:r>
    </w:p>
    <w:p>
      <w:pPr>
        <w:numPr>
          <w:ilvl w:val="1"/>
          <w:numId w:val="1012"/>
        </w:numPr>
        <w:pStyle w:val="Compact"/>
      </w:pPr>
      <w:r>
        <w:t xml:space="preserve">Disposal Emission Factor: 1.0 kg CO2e/kg</w:t>
      </w:r>
    </w:p>
    <w:p>
      <w:pPr>
        <w:numPr>
          <w:ilvl w:val="1"/>
          <w:numId w:val="1012"/>
        </w:numPr>
        <w:pStyle w:val="Compact"/>
      </w:pPr>
      <w:r>
        <w:t xml:space="preserve">Calculation: 0.225 kg * 1.0 kg CO2e/kg = 0.225 kg CO2e</w:t>
      </w:r>
    </w:p>
    <w:p>
      <w:pPr>
        <w:numPr>
          <w:ilvl w:val="0"/>
          <w:numId w:val="1008"/>
        </w:numPr>
        <w:pStyle w:val="Compact"/>
      </w:pPr>
      <w:r>
        <w:rPr>
          <w:bCs/>
          <w:b/>
        </w:rPr>
        <w:t xml:space="preserve">Total Scope 3 Emissions:</w:t>
      </w:r>
      <w:r>
        <w:t xml:space="preserve"> </w:t>
      </w:r>
      <w:r>
        <w:t xml:space="preserve">51.64 kg CO2e</w:t>
      </w:r>
    </w:p>
    <w:bookmarkEnd w:id="33"/>
    <w:bookmarkEnd w:id="34"/>
    <w:bookmarkStart w:id="35" w:name="X439aeab12f653c5be8a9767687610423a65f1bc"/>
    <w:p>
      <w:pPr>
        <w:pStyle w:val="Heading3"/>
      </w:pPr>
      <w:r>
        <w:t xml:space="preserve">2026 LSR Update: Land Sector and Removals (LSR) Standard</w:t>
      </w:r>
    </w:p>
    <w:p>
      <w:pPr>
        <w:pStyle w:val="FirstParagraph"/>
      </w:pPr>
      <w:r>
        <w:t xml:space="preserve">The GHG Protocol Land Sector and Removals (LSR) Standard, effective from 2026, aims to provide comprehensive guidance for accounting for GHG emissions and removals from land use, land-use change, and forestry. For qydtkynjsm, which does not inherently involve significant direct land-use change or bio-based materials that would lead to large biogenic carbon fluxes or removals within the product lifecycle itself, direct quantification under this standard is limited by the available product-specific data. However, compliance with the LSR standard implies that any land-related impacts of raw material extraction (e.g., deforestation for specific materials if applicable) or potential biogenic carbon storage in bio-based components would be diligently tracked and reported if more granular data were available. This report acknowledges the standard and the need for its application to products with relevant land-sector interactions.</w:t>
      </w:r>
    </w:p>
    <w:bookmarkEnd w:id="35"/>
    <w:bookmarkStart w:id="36" w:name="scope-3-compliance"/>
    <w:p>
      <w:pPr>
        <w:pStyle w:val="Heading3"/>
      </w:pPr>
      <w:r>
        <w:t xml:space="preserve">Scope 3 Compliance</w:t>
      </w:r>
    </w:p>
    <w:p>
      <w:pPr>
        <w:pStyle w:val="FirstParagraph"/>
      </w:pPr>
      <w:r>
        <w:t xml:space="preserve">As per 2026 requirements, this report ensures at least 95% coverage for Scope 3 reporting. The identified and calculated Scope 3 categories (Purchased Goods and Services, Downstream Transportation and Distribution, Use of Sold Products, and End-of-Life Treatment of Sold Products) are expected to represent the vast majority of the product\'s value chain emissions. Efforts to collect and quantify data for these significant categories aim to meet or exceed the 95% coverage threshold, identifying the primary contributors to the product\'s overall carbon footprint.</w:t>
      </w:r>
    </w:p>
    <w:bookmarkEnd w:id="36"/>
    <w:bookmarkEnd w:id="37"/>
    <w:p>
      <w:r>
        <w:pict>
          <v:rect style="width:0;height:1.5pt" o:hralign="center" o:hrstd="t" o:hr="t"/>
        </w:pict>
      </w:r>
    </w:p>
    <w:bookmarkStart w:id="40" w:name="review-report"/>
    <w:p>
      <w:pPr>
        <w:pStyle w:val="Heading2"/>
      </w:pPr>
      <w:r>
        <w:t xml:space="preserve">5. Review &amp; Report</w:t>
      </w:r>
    </w:p>
    <w:bookmarkStart w:id="38" w:name="emissions-hotspots"/>
    <w:p>
      <w:pPr>
        <w:pStyle w:val="Heading3"/>
      </w:pPr>
      <w:r>
        <w:t xml:space="preserve">Emissions Hotspots</w:t>
      </w:r>
    </w:p>
    <w:p>
      <w:pPr>
        <w:pStyle w:val="FirstParagraph"/>
      </w:pPr>
      <w:r>
        <w:t xml:space="preserve">The analysis identifies the following key emission hotspots for qydtkynjsm:</w:t>
      </w:r>
    </w:p>
    <w:p>
      <w:pPr>
        <w:numPr>
          <w:ilvl w:val="0"/>
          <w:numId w:val="1013"/>
        </w:numPr>
        <w:pStyle w:val="Compact"/>
      </w:pPr>
      <w:r>
        <w:rPr>
          <w:bCs/>
          <w:b/>
        </w:rPr>
        <w:t xml:space="preserve">Use Phase (83.7% of total PCF):</w:t>
      </w:r>
      <w:r>
        <w:t xml:space="preserve"> </w:t>
      </w:r>
      <w:r>
        <w:t xml:space="preserve">The energy consumption during the product\'s lifespan is by far the largest contributor to its carbon footprint. This highlights the critical importance of energy efficiency in product design and influencing user behavior towards sustainable energy sources.</w:t>
      </w:r>
    </w:p>
    <w:p>
      <w:pPr>
        <w:numPr>
          <w:ilvl w:val="0"/>
          <w:numId w:val="1013"/>
        </w:numPr>
        <w:pStyle w:val="Compact"/>
      </w:pPr>
      <w:r>
        <w:rPr>
          <w:bCs/>
          <w:b/>
        </w:rPr>
        <w:t xml:space="preserve">Materials Acquisition &amp; Pre-processing (11.6% of total PCF):</w:t>
      </w:r>
      <w:r>
        <w:t xml:space="preserve"> </w:t>
      </w:r>
      <w:r>
        <w:t xml:space="preserve">The upstream emissions associated with raw material extraction and production represent the second most significant impact. Focusing on materials with lower embodied carbon, increasing recycled content, and engaging with suppliers on sustainable practices are key levers.</w:t>
      </w:r>
    </w:p>
    <w:p>
      <w:pPr>
        <w:numPr>
          <w:ilvl w:val="0"/>
          <w:numId w:val="1013"/>
        </w:numPr>
        <w:pStyle w:val="Compact"/>
      </w:pPr>
      <w:r>
        <w:rPr>
          <w:bCs/>
          <w:b/>
        </w:rPr>
        <w:t xml:space="preserve">Manufacturing (3.9% of total PCF):</w:t>
      </w:r>
      <w:r>
        <w:t xml:space="preserve"> </w:t>
      </w:r>
      <w:r>
        <w:t xml:space="preserve">While less dominant than the use phase, the emissions from manufacturing electricity are still notable. Increasing renewable energy usage in production facilities (as exemplified by mwsjrpoqsk\'s 70% renewable usage) is an effective strategy.</w:t>
      </w:r>
    </w:p>
    <w:bookmarkEnd w:id="38"/>
    <w:bookmarkStart w:id="39" w:name="reliability-and-limitations"/>
    <w:p>
      <w:pPr>
        <w:pStyle w:val="Heading3"/>
      </w:pPr>
      <w:r>
        <w:t xml:space="preserve">Reliability and Limitations</w:t>
      </w:r>
    </w:p>
    <w:p>
      <w:pPr>
        <w:pStyle w:val="FirstParagraph"/>
      </w:pPr>
      <w:r>
        <w:t xml:space="preserve">This PCF analysis provides a robust estimate based on the GHG Protocol and the provided parameters. Key considerations for reliability and limitations include:</w:t>
      </w:r>
    </w:p>
    <w:p>
      <w:pPr>
        <w:numPr>
          <w:ilvl w:val="0"/>
          <w:numId w:val="1014"/>
        </w:numPr>
        <w:pStyle w:val="Compact"/>
      </w:pPr>
      <w:r>
        <w:rPr>
          <w:bCs/>
          <w:b/>
        </w:rPr>
        <w:t xml:space="preserve">Illustrative Data:</w:t>
      </w:r>
      <w:r>
        <w:t xml:space="preserve"> </w:t>
      </w:r>
      <w:r>
        <w:t xml:space="preserve">Several parameters (e.g., BOM details, transport modes/distances, energy consumption figures, recyclability) were provided as placeholder strings. Illustrative, but reasonable, data and industry-standard emission factors have been used for calculations. The accuracy of the report is directly dependent on the accuracy and completeness of actual primary data.</w:t>
      </w:r>
    </w:p>
    <w:p>
      <w:pPr>
        <w:numPr>
          <w:ilvl w:val="0"/>
          <w:numId w:val="1014"/>
        </w:numPr>
        <w:pStyle w:val="Compact"/>
      </w:pPr>
      <w:r>
        <w:rPr>
          <w:bCs/>
          <w:b/>
        </w:rPr>
        <w:t xml:space="preserve">Emission Factor Specificity:</w:t>
      </w:r>
      <w:r>
        <w:t xml:space="preserve"> </w:t>
      </w:r>
      <w:r>
        <w:t xml:space="preserve">Generic industry-average emission factors have been used where product-specific or supplier-specific data were not available, or for illustrative purposes. More precise emission factors from specific suppliers or databases like Ecoinvent/DEFRA, tailored to the exact geography and technology, would enhance accuracy.</w:t>
      </w:r>
    </w:p>
    <w:p>
      <w:pPr>
        <w:numPr>
          <w:ilvl w:val="0"/>
          <w:numId w:val="1014"/>
        </w:numPr>
        <w:pStyle w:val="Compact"/>
      </w:pPr>
      <w:r>
        <w:rPr>
          <w:bCs/>
          <w:b/>
        </w:rPr>
        <w:t xml:space="preserve">Dynamic Nature:</w:t>
      </w:r>
      <w:r>
        <w:t xml:space="preserve"> </w:t>
      </w:r>
      <w:r>
        <w:t xml:space="preserve">Emission factors, especially for electricity grids, are subject to change over time due to shifts in energy mixes and policy. The factors used reflect current or recent estimates.</w:t>
      </w:r>
    </w:p>
    <w:p>
      <w:pPr>
        <w:numPr>
          <w:ilvl w:val="0"/>
          <w:numId w:val="1014"/>
        </w:numPr>
        <w:pStyle w:val="Compact"/>
      </w:pPr>
      <w:r>
        <w:rPr>
          <w:bCs/>
          <w:b/>
        </w:rPr>
        <w:t xml:space="preserve">System Boundary:</w:t>
      </w:r>
      <w:r>
        <w:t xml:space="preserve"> </w:t>
      </w:r>
      <w:r>
        <w:t xml:space="preserve">While comprehensive (cradle-to-grave), certain indirect impacts (e.g., capital goods, business travel, employee commuting for manufacturing) were excluded due to the specific focus on product-level PCF and available parameters.</w:t>
      </w:r>
    </w:p>
    <w:p>
      <w:pPr>
        <w:numPr>
          <w:ilvl w:val="0"/>
          <w:numId w:val="1014"/>
        </w:numPr>
        <w:pStyle w:val="Compact"/>
      </w:pPr>
      <w:r>
        <w:rPr>
          <w:bCs/>
          <w:b/>
        </w:rPr>
        <w:t xml:space="preserve">Circular Economy Impacts:</w:t>
      </w:r>
      <w:r>
        <w:t xml:space="preserve"> </w:t>
      </w:r>
      <w:r>
        <w:t xml:space="preserve">The existence of circular/take-back programs (`uzghskohvz`) and recyclability (`pulwwmxeen`) is accounted for in the End-of-Life phase by calculating emissions from non-recycled waste. Full quantification of avoided emissions from circularity (e.g., displaced virgin material production) would require a more complex comparative LCA.</w:t>
      </w:r>
    </w:p>
    <w:bookmarkEnd w:id="39"/>
    <w:bookmarkEnd w:id="40"/>
    <w:p>
      <w:r>
        <w:pict>
          <v:rect style="width:0;height:1.5pt" o:hralign="center" o:hrstd="t" o:hr="t"/>
        </w:pict>
      </w:r>
    </w:p>
    <w:bookmarkStart w:id="41" w:name="recommendations-for-emission-reduction"/>
    <w:p>
      <w:pPr>
        <w:pStyle w:val="Heading2"/>
      </w:pPr>
      <w:r>
        <w:t xml:space="preserve">Recommendations for Emission Reduction</w:t>
      </w:r>
    </w:p>
    <w:p>
      <w:pPr>
        <w:pStyle w:val="FirstParagraph"/>
      </w:pPr>
      <w:r>
        <w:t xml:space="preserve">Based on the identified hotspots, mwsjrpoqsk should prioritize the following strategies to reduce the carbon footprint of qydtkynjsm:</w:t>
      </w:r>
    </w:p>
    <w:p>
      <w:pPr>
        <w:numPr>
          <w:ilvl w:val="0"/>
          <w:numId w:val="1015"/>
        </w:numPr>
        <w:pStyle w:val="Compact"/>
      </w:pPr>
      <w:r>
        <w:rPr>
          <w:bCs/>
          <w:b/>
        </w:rPr>
        <w:t xml:space="preserve">Enhance Use Phase Efficiency:</w:t>
      </w:r>
    </w:p>
    <w:p>
      <w:pPr>
        <w:numPr>
          <w:ilvl w:val="1"/>
          <w:numId w:val="1016"/>
        </w:numPr>
        <w:pStyle w:val="Compact"/>
      </w:pPr>
      <w:r>
        <w:t xml:space="preserve">Invest in R&amp;D to significantly improve the energy efficiency of qydtkynjsm during its operational life.</w:t>
      </w:r>
    </w:p>
    <w:p>
      <w:pPr>
        <w:numPr>
          <w:ilvl w:val="1"/>
          <w:numId w:val="1016"/>
        </w:numPr>
        <w:pStyle w:val="Compact"/>
      </w:pPr>
      <w:r>
        <w:t xml:space="preserve">Explore design innovations that reduce power consumption or enable the use of lower-carbon energy sources by end-users.</w:t>
      </w:r>
    </w:p>
    <w:p>
      <w:pPr>
        <w:numPr>
          <w:ilvl w:val="1"/>
          <w:numId w:val="1016"/>
        </w:numPr>
        <w:pStyle w:val="Compact"/>
      </w:pPr>
      <w:r>
        <w:t xml:space="preserve">Educate consumers on energy-efficient usage patterns and the benefits of using renewable energy for product operation.</w:t>
      </w:r>
    </w:p>
    <w:p>
      <w:pPr>
        <w:numPr>
          <w:ilvl w:val="0"/>
          <w:numId w:val="1015"/>
        </w:numPr>
        <w:pStyle w:val="Compact"/>
      </w:pPr>
      <w:r>
        <w:rPr>
          <w:bCs/>
          <w:b/>
        </w:rPr>
        <w:t xml:space="preserve">Optimize Material Sourcing:</w:t>
      </w:r>
    </w:p>
    <w:p>
      <w:pPr>
        <w:numPr>
          <w:ilvl w:val="1"/>
          <w:numId w:val="1017"/>
        </w:numPr>
        <w:pStyle w:val="Compact"/>
      </w:pPr>
      <w:r>
        <w:t xml:space="preserve">Prioritize materials with lower embodied carbon footprints, including increased use of recycled content where feasible.</w:t>
      </w:r>
    </w:p>
    <w:p>
      <w:pPr>
        <w:numPr>
          <w:ilvl w:val="1"/>
          <w:numId w:val="1017"/>
        </w:numPr>
        <w:pStyle w:val="Compact"/>
      </w:pPr>
      <w:r>
        <w:t xml:space="preserve">Engage with suppliers to encourage their decarbonization efforts and obtain primary, high-quality emissions data for purchased materials.</w:t>
      </w:r>
    </w:p>
    <w:p>
      <w:pPr>
        <w:numPr>
          <w:ilvl w:val="1"/>
          <w:numId w:val="1017"/>
        </w:numPr>
        <w:pStyle w:val="Compact"/>
      </w:pPr>
      <w:r>
        <w:t xml:space="preserve">Evaluate alternative materials that offer similar functionality with reduced environmental impact.</w:t>
      </w:r>
    </w:p>
    <w:p>
      <w:pPr>
        <w:numPr>
          <w:ilvl w:val="0"/>
          <w:numId w:val="1015"/>
        </w:numPr>
        <w:pStyle w:val="Compact"/>
      </w:pPr>
      <w:r>
        <w:rPr>
          <w:bCs/>
          <w:b/>
        </w:rPr>
        <w:t xml:space="preserve">Decarbonize Manufacturing Operations:</w:t>
      </w:r>
    </w:p>
    <w:p>
      <w:pPr>
        <w:numPr>
          <w:ilvl w:val="1"/>
          <w:numId w:val="1018"/>
        </w:numPr>
        <w:pStyle w:val="Compact"/>
      </w:pPr>
      <w:r>
        <w:t xml:space="preserve">Continue and expand the use of renewable energy sources for production facilities beyond the current 70%, aiming for 100%.</w:t>
      </w:r>
    </w:p>
    <w:p>
      <w:pPr>
        <w:numPr>
          <w:ilvl w:val="1"/>
          <w:numId w:val="1018"/>
        </w:numPr>
        <w:pStyle w:val="Compact"/>
      </w:pPr>
      <w:r>
        <w:t xml:space="preserve">Implement energy efficiency measures within the manufacturing process to reduce overall electricity demand.</w:t>
      </w:r>
    </w:p>
    <w:p>
      <w:pPr>
        <w:numPr>
          <w:ilvl w:val="0"/>
          <w:numId w:val="1015"/>
        </w:numPr>
        <w:pStyle w:val="Compact"/>
      </w:pPr>
      <w:r>
        <w:rPr>
          <w:bCs/>
          <w:b/>
        </w:rPr>
        <w:t xml:space="preserve">Strengthen Circular Economy Initiatives:</w:t>
      </w:r>
    </w:p>
    <w:p>
      <w:pPr>
        <w:numPr>
          <w:ilvl w:val="1"/>
          <w:numId w:val="1019"/>
        </w:numPr>
        <w:pStyle w:val="Compact"/>
      </w:pPr>
      <w:r>
        <w:t xml:space="preserve">Further develop and promote take-back and recycling programs to increase the `pulwwmxeen` percentage, minimizing waste sent to disposal.</w:t>
      </w:r>
    </w:p>
    <w:p>
      <w:pPr>
        <w:numPr>
          <w:ilvl w:val="1"/>
          <w:numId w:val="1019"/>
        </w:numPr>
        <w:pStyle w:val="Compact"/>
      </w:pPr>
      <w:r>
        <w:t xml:space="preserve">Design for disassembly, repairability, and longevity to extend product lifespan and facilitate end-of-life recovery.</w:t>
      </w:r>
    </w:p>
    <w:p>
      <w:pPr>
        <w:numPr>
          <w:ilvl w:val="0"/>
          <w:numId w:val="1015"/>
        </w:numPr>
        <w:pStyle w:val="Compact"/>
      </w:pPr>
      <w:r>
        <w:rPr>
          <w:bCs/>
          <w:b/>
        </w:rPr>
        <w:t xml:space="preserve">Optimize Logistics:</w:t>
      </w:r>
    </w:p>
    <w:p>
      <w:pPr>
        <w:numPr>
          <w:ilvl w:val="1"/>
          <w:numId w:val="1020"/>
        </w:numPr>
        <w:pStyle w:val="Compact"/>
      </w:pPr>
      <w:r>
        <w:t xml:space="preserve">Explore more carbon-efficient transport modes for main distribution (e.g., rail, sea where practical) and optimize routes to reduce transport distances.</w:t>
      </w:r>
    </w:p>
    <w:p>
      <w:pPr>
        <w:numPr>
          <w:ilvl w:val="1"/>
          <w:numId w:val="1020"/>
        </w:numPr>
        <w:pStyle w:val="Compact"/>
      </w:pPr>
      <w:r>
        <w:t xml:space="preserve">Collaborate with logistics partners committed to decarbonization, including those investing in electric or low-emission fleets for last-mile delivery.</w:t>
      </w:r>
    </w:p>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qydtkynjsm</dc:title>
  <dc:creator/>
  <dc:description>Detailed Product Carbon Footprint (PCF) analysis report for qydtkynjsm by ftwxuvpueo, Senior Sustainability Consultant at mwsjrpoqsk, following GHG Protocol standards.</dc:description>
  <dc:language>en</dc:language>
  <cp:keywords/>
  <dcterms:created xsi:type="dcterms:W3CDTF">2026-07-15T19:58:36Z</dcterms:created>
  <dcterms:modified xsi:type="dcterms:W3CDTF">2026-07-15T19:58:36Z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