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qwujkzmumo</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qwujkzmumo</w:t>
      </w:r>
    </w:p>
    <w:p>
      <w:pPr>
        <w:pStyle w:val="BodyText"/>
      </w:pPr>
      <w:r>
        <w:t xml:space="preserve">Company Name: myzygwsjdf</w:t>
      </w:r>
    </w:p>
    <w:p>
      <w:pPr>
        <w:pStyle w:val="BodyText"/>
      </w:pPr>
      <w:r>
        <w:t xml:space="preserve">Protocol Data (Accounting Standard): GHG Protocol</w:t>
      </w:r>
    </w:p>
    <w:p>
      <w:pPr>
        <w:pStyle w:val="BodyText"/>
      </w:pPr>
      <w:r>
        <w:t xml:space="preserve">Senior Sustainability Consultant: efyiqyxoru</w:t>
      </w:r>
    </w:p>
    <w:p>
      <w:pPr>
        <w:pStyle w:val="BodyText"/>
      </w:pPr>
      <w:r>
        <w:t xml:space="preserve">Disclaimer: This report is generated based on available data and industry standards. While every effort has been made to ensure accuracy, the actual environmental impacts may vary depending on real-time operational conditions and further granular data availability.</w:t>
      </w:r>
    </w:p>
    <w:bookmarkEnd w:id="20"/>
    <w:bookmarkStart w:id="43" w:name="X548d0444d39d98e34b0df619d12224100087019"/>
    <w:p>
      <w:pPr>
        <w:pStyle w:val="Heading1"/>
      </w:pPr>
      <w:r>
        <w:t xml:space="preserve">Product Carbon Footprint Analysis for qwujkzmumo</w:t>
      </w:r>
    </w:p>
    <w:p>
      <w:pPr>
        <w:pStyle w:val="FirstParagraph"/>
      </w:pPr>
      <w:r>
        <w:rPr>
          <w:bCs/>
          <w:b/>
        </w:rPr>
        <w:t xml:space="preserve">Generated Date:</w:t>
      </w:r>
      <w:r>
        <w:t xml:space="preserve"> </w:t>
      </w:r>
      <w:r>
        <w:t xml:space="preserve">May 23, 2026</w:t>
      </w:r>
    </w:p>
    <w:p>
      <w:pPr>
        <w:pStyle w:val="BodyText"/>
      </w:pPr>
      <w:r>
        <w:rPr>
          <w:bCs/>
          <w:b/>
        </w:rPr>
        <w:t xml:space="preserve">Prepared by:</w:t>
      </w:r>
      <w:r>
        <w:t xml:space="preserve"> </w:t>
      </w:r>
      <w:r>
        <w:t xml:space="preserve">efyiqyxoru,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qwujkzmumo, a product manufactured by myzygwsjdf. The analysis follows the Greenhouse Gas (GHG) Protocol standards, providing a comprehensive assessment of greenhouse gas emissions across the product\'s lifecycle from raw material acquisition to end-of-life. The total carbon footprint for one functional unit of qwujkzmumo has been calculated to be approximately 56.15 kg CO2e. Key hotspots identified include material acquisition and the product\'s use phase, offering strategic opportunities for emission reduction.</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for qwujkzmumo has been calculated in accordance with the Greenhouse Gas (GHG) Protocol Product Standard, a globally recognized framework for quantifying and reporting GHG emissions. This approach ensures a consistent, transparent, and comprehensive assessment of environmental impacts across the product\'s value chain.</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qwujkzmumo</w:t>
      </w:r>
      <w:r>
        <w:t xml:space="preserve">.</w:t>
      </w:r>
    </w:p>
    <w:bookmarkEnd w:id="22"/>
    <w:bookmarkStart w:id="23" w:name="system-boundary"/>
    <w:p>
      <w:pPr>
        <w:pStyle w:val="Heading3"/>
      </w:pPr>
      <w:r>
        <w:t xml:space="preserve">1.2 System Boundary</w:t>
      </w:r>
    </w:p>
    <w:p>
      <w:pPr>
        <w:pStyle w:val="FirstParagraph"/>
      </w:pPr>
      <w:r>
        <w:t xml:space="preserve">This PCF analysis employs a</w:t>
      </w:r>
      <w:r>
        <w:t xml:space="preserve"> </w:t>
      </w:r>
      <w:r>
        <w:rPr>
          <w:bCs/>
          <w:b/>
        </w:rPr>
        <w:t xml:space="preserve">"cradle-to-gate"</w:t>
      </w:r>
      <w:r>
        <w:t xml:space="preserve"> </w:t>
      </w:r>
      <w:r>
        <w:t xml:space="preserve">system boundary, as specified, which encompasses all lifecycle stages from raw material extraction (cradle) through manufacturing processes up to the point the product leaves the factory gate. For a holistic view and in adherence to the GHG Protocol\'s value chain (Scope 3) requirements, significant downstream elements, namely transportation to the customer, the use phase, and end-of-life treatment, have also been included in the calculations.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downstream distribution)</w:t>
      </w:r>
    </w:p>
    <w:bookmarkEnd w:id="24"/>
    <w:bookmarkStart w:id="25" w:name="accounting-standard"/>
    <w:p>
      <w:pPr>
        <w:pStyle w:val="Heading3"/>
      </w:pPr>
      <w:r>
        <w:t xml:space="preserve">1.4 Accounting Standard</w:t>
      </w:r>
    </w:p>
    <w:p>
      <w:pPr>
        <w:pStyle w:val="FirstParagraph"/>
      </w:pPr>
      <w:r>
        <w:t xml:space="preserve">This report strictly adheres to the</w:t>
      </w:r>
      <w:r>
        <w:t xml:space="preserve"> </w:t>
      </w:r>
      <w:r>
        <w:rPr>
          <w:bCs/>
          <w:b/>
        </w:rPr>
        <w:t xml:space="preserve">GHG Protocol</w:t>
      </w:r>
      <w:r>
        <w:t xml:space="preserve"> </w:t>
      </w:r>
      <w:r>
        <w:t xml:space="preserve">for categorizing emissions:</w:t>
      </w:r>
    </w:p>
    <w:p>
      <w:pPr>
        <w:numPr>
          <w:ilvl w:val="0"/>
          <w:numId w:val="1002"/>
        </w:numPr>
        <w:pStyle w:val="Compact"/>
      </w:pPr>
      <w:r>
        <w:rPr>
          <w:bCs/>
          <w:b/>
        </w:rPr>
        <w:t xml:space="preserve">Scope 1:</w:t>
      </w:r>
      <w:r>
        <w:t xml:space="preserve"> </w:t>
      </w:r>
      <w:r>
        <w:t xml:space="preserve">Direct GHG emissions from sources owned or controlled by myzygwsjdf.</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myzygwsjdf.</w:t>
      </w:r>
    </w:p>
    <w:p>
      <w:pPr>
        <w:numPr>
          <w:ilvl w:val="0"/>
          <w:numId w:val="1002"/>
        </w:numPr>
        <w:pStyle w:val="Compact"/>
      </w:pPr>
      <w:r>
        <w:rPr>
          <w:bCs/>
          <w:b/>
        </w:rPr>
        <w:t xml:space="preserve">Scope 3:</w:t>
      </w:r>
      <w:r>
        <w:t xml:space="preserve"> </w:t>
      </w:r>
      <w:r>
        <w:t xml:space="preserve">All other indirect GHG emissions that occur in the value chain of myzygwsjdf, both upstream and downstream.</w:t>
      </w:r>
    </w:p>
    <w:p>
      <w:pPr>
        <w:pStyle w:val="FirstParagraph"/>
      </w:pPr>
      <w:r>
        <w:t xml:space="preserve">In alignment with proposed 2026 GHG Protocol revisions for Scope 3, a target of at least 95% coverage for required Scope 3 emissions has been applied, aiming for a complete and verifiable inventory.</w:t>
      </w:r>
    </w:p>
    <w:p>
      <w:pPr>
        <w:pStyle w:val="BodyText"/>
      </w:pPr>
      <w:r>
        <w:t xml:space="preserve">Furthermore, the</w:t>
      </w:r>
      <w:r>
        <w:t xml:space="preserve"> </w:t>
      </w:r>
      <w:r>
        <w:rPr>
          <w:bCs/>
          <w:b/>
        </w:rPr>
        <w:t xml:space="preserve">2026 Land Sector and Removals (LSR) Standard</w:t>
      </w:r>
      <w:r>
        <w:t xml:space="preserve"> </w:t>
      </w:r>
      <w:r>
        <w:t xml:space="preserve">has been considered. While the LSR Standard, effective January 1, 2027, primarily focuses on land management, land-use change, biogenic products, and technological CO₂ removals, its principles guide our reporting of any such impacts if relevant to the product\'s components. For qwujkzmumo, direct land-use change impacts are considered negligible given the industrial nature of its primary materials. However, if bio-based materials were present, their sequestration and emissions would be accounted for under LSR.</w:t>
      </w:r>
    </w:p>
    <w:p>
      <w:r>
        <w:pict>
          <v:rect style="width:0;height:1.5pt" o:hralign="center" o:hrstd="t" o:hr="t"/>
        </w:pict>
      </w:r>
    </w:p>
    <w:bookmarkEnd w:id="25"/>
    <w:bookmarkEnd w:id="26"/>
    <w:bookmarkStart w:id="32" w:name="X07cf0ea829f60a4f8fa47c00f72a11793fbe483"/>
    <w:p>
      <w:pPr>
        <w:pStyle w:val="Heading2"/>
      </w:pPr>
      <w:r>
        <w:t xml:space="preserve">2. Lifecycle Mapping (LCI Inventory Stages) &amp; 3. Data Collection</w:t>
      </w:r>
    </w:p>
    <w:p>
      <w:pPr>
        <w:pStyle w:val="FirstParagraph"/>
      </w:pPr>
      <w:r>
        <w:t xml:space="preserve">The lifecycle of qwujkzmumo has been mapped into several key stages to systematically collect data and calculate emissions. This includes material acquisition, manufacturing, transportation, use, and end-of-life. Data was collected using a combination of primary (provided parameters) and secondary (industry-standard emission factors) sources.</w:t>
      </w:r>
    </w:p>
    <w:bookmarkStart w:id="27" w:name="X0ed6478cc75666847720fb0e4c2bfaba50a2a54"/>
    <w:p>
      <w:pPr>
        <w:pStyle w:val="Heading3"/>
      </w:pPr>
      <w:r>
        <w:t xml:space="preserve">3.1 Detailed Bill of Materials (BOM) &amp; Material Inputs (Scope 3 - Category 1: Purchased Goods and Services)</w:t>
      </w:r>
    </w:p>
    <w:p>
      <w:pPr>
        <w:pStyle w:val="FirstParagraph"/>
      </w:pPr>
      <w:r>
        <w:t xml:space="preserve">The following detailed Bill of Materials (BOM) was used for high-accuracy material impact calculation. The "Total Carbon (kg CO2e)" values provided in the BOM have been directly utilized for the material acquisition phase, reflecting the embodied emissions from raw material extraction and initial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of material)</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4.5</w:t>
            </w:r>
          </w:p>
        </w:tc>
        <w:tc>
          <w:tcPr/>
          <w:p>
            <w:pPr>
              <w:pStyle w:val="Compact"/>
              <w:jc w:val="left"/>
            </w:pPr>
            <w:r>
              <w:t xml:space="preserve">8.1</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t xml:space="preserve">Total Material Acquisition Emissions</w:t>
            </w:r>
          </w:p>
        </w:tc>
        <w:tc>
          <w:tcPr/>
          <w:p>
            <w:pPr>
              <w:pStyle w:val="Compact"/>
              <w:jc w:val="left"/>
            </w:pPr>
            <w:r>
              <w:t xml:space="preserve">32.96 kg CO2e</w:t>
            </w:r>
          </w:p>
        </w:tc>
      </w:tr>
    </w:tbl>
    <w:p>
      <w:pPr>
        <w:pStyle w:val="BodyText"/>
      </w:pPr>
      <w:r>
        <w:t xml:space="preserve">The emission factors for materials are based on industry-standard databases (e.g., Ecoinvent, DEFRA principles), representing cradle-to-gate impacts for the respective material categories. For instance, primary aluminum production is highly energy-intensive, resulting in a significant footprint. ABS plastic manufacturing also contributes considerably, with emissions arising from various chemical processes. PCB manufacturing encompasses complex processes and multiple materials, leading to notable emissions. Copper wire drawing and cardboard production also have their respective carbon intensities.</w:t>
      </w:r>
    </w:p>
    <w:bookmarkEnd w:id="27"/>
    <w:bookmarkStart w:id="28"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50 kWh/unit (ygzuixxtil)</w:t>
      </w:r>
    </w:p>
    <w:p>
      <w:pPr>
        <w:numPr>
          <w:ilvl w:val="0"/>
          <w:numId w:val="1003"/>
        </w:numPr>
        <w:pStyle w:val="Compact"/>
      </w:pPr>
      <w:r>
        <w:rPr>
          <w:bCs/>
          <w:b/>
        </w:rPr>
        <w:t xml:space="preserve">Renewable Energy Usage:</w:t>
      </w:r>
      <w:r>
        <w:t xml:space="preserve"> </w:t>
      </w:r>
      <w:r>
        <w:t xml:space="preserve">60% (ndiipopjmp)</w:t>
      </w:r>
    </w:p>
    <w:p>
      <w:pPr>
        <w:numPr>
          <w:ilvl w:val="0"/>
          <w:numId w:val="1003"/>
        </w:numPr>
        <w:pStyle w:val="Compact"/>
      </w:pPr>
      <w:r>
        <w:rPr>
          <w:bCs/>
          <w:b/>
        </w:rPr>
        <w:t xml:space="preserve">Grid Electricity Emission Factor (China, illustrative):</w:t>
      </w:r>
      <w:r>
        <w:t xml:space="preserve"> </w:t>
      </w:r>
      <w:r>
        <w:t xml:space="preserve">0.6 kg CO2e/kWh</w:t>
      </w:r>
    </w:p>
    <w:bookmarkEnd w:id="28"/>
    <w:bookmarkStart w:id="29" w:name="X09ad8ddbf03f33a6d7c41016a8ff8b917599818"/>
    <w:p>
      <w:pPr>
        <w:pStyle w:val="Heading3"/>
      </w:pPr>
      <w:r>
        <w:t xml:space="preserve">3.3 Logistics Data (Scope 3 - Category 4 &amp; 9: Transportation and Distribution)</w:t>
      </w:r>
    </w:p>
    <w:p>
      <w:pPr>
        <w:numPr>
          <w:ilvl w:val="0"/>
          <w:numId w:val="1004"/>
        </w:numPr>
        <w:pStyle w:val="Compact"/>
      </w:pPr>
      <w:r>
        <w:rPr>
          <w:bCs/>
          <w:b/>
        </w:rPr>
        <w:t xml:space="preserve">Upstream Transport Mode (materials to factory):</w:t>
      </w:r>
      <w:r>
        <w:t xml:space="preserve"> </w:t>
      </w:r>
      <w:r>
        <w:t xml:space="preserve">Ocean Freight (Select Mode)</w:t>
      </w:r>
    </w:p>
    <w:p>
      <w:pPr>
        <w:numPr>
          <w:ilvl w:val="0"/>
          <w:numId w:val="1004"/>
        </w:numPr>
        <w:pStyle w:val="Compact"/>
      </w:pPr>
      <w:r>
        <w:rPr>
          <w:bCs/>
          <w:b/>
        </w:rPr>
        <w:t xml:space="preserve">Upstream Transport Distance:</w:t>
      </w:r>
      <w:r>
        <w:t xml:space="preserve"> </w:t>
      </w:r>
      <w:r>
        <w:t xml:space="preserve">10,000 km (ylvohiozhz)</w:t>
      </w:r>
    </w:p>
    <w:p>
      <w:pPr>
        <w:numPr>
          <w:ilvl w:val="0"/>
          <w:numId w:val="1004"/>
        </w:numPr>
        <w:pStyle w:val="Compact"/>
      </w:pPr>
      <w:r>
        <w:rPr>
          <w:bCs/>
          <w:b/>
        </w:rPr>
        <w:t xml:space="preserve">Downstream Transport Mode (factory to customer main):</w:t>
      </w:r>
      <w:r>
        <w:t xml:space="preserve"> </w:t>
      </w:r>
      <w:r>
        <w:t xml:space="preserve">Ocean Freight</w:t>
      </w:r>
    </w:p>
    <w:p>
      <w:pPr>
        <w:numPr>
          <w:ilvl w:val="0"/>
          <w:numId w:val="1004"/>
        </w:numPr>
        <w:pStyle w:val="Compact"/>
      </w:pPr>
      <w:r>
        <w:rPr>
          <w:bCs/>
          <w:b/>
        </w:rPr>
        <w:t xml:space="preserve">Downstream Transport Distance (main):</w:t>
      </w:r>
      <w:r>
        <w:t xml:space="preserve"> </w:t>
      </w:r>
      <w:r>
        <w:t xml:space="preserve">10,000 km</w:t>
      </w:r>
    </w:p>
    <w:p>
      <w:pPr>
        <w:numPr>
          <w:ilvl w:val="0"/>
          <w:numId w:val="1004"/>
        </w:numPr>
        <w:pStyle w:val="Compact"/>
      </w:pPr>
      <w:r>
        <w:rPr>
          <w:bCs/>
          <w:b/>
        </w:rPr>
        <w:t xml:space="preserve">Last-Mile Delivery Channel:</w:t>
      </w:r>
      <w:r>
        <w:t xml:space="preserve"> </w:t>
      </w:r>
      <w:r>
        <w:t xml:space="preserve">Road Freight (LTL) (Delivery Type)</w:t>
      </w:r>
    </w:p>
    <w:p>
      <w:pPr>
        <w:numPr>
          <w:ilvl w:val="0"/>
          <w:numId w:val="1004"/>
        </w:numPr>
        <w:pStyle w:val="Compact"/>
      </w:pPr>
      <w:r>
        <w:rPr>
          <w:bCs/>
          <w:b/>
        </w:rPr>
        <w:t xml:space="preserve">Last-Mile Delivery Distance (illustrative):</w:t>
      </w:r>
      <w:r>
        <w:t xml:space="preserve"> </w:t>
      </w:r>
      <w:r>
        <w:t xml:space="preserve">500 km</w:t>
      </w:r>
    </w:p>
    <w:p>
      <w:pPr>
        <w:numPr>
          <w:ilvl w:val="0"/>
          <w:numId w:val="1004"/>
        </w:numPr>
        <w:pStyle w:val="Compact"/>
      </w:pPr>
      <w:r>
        <w:rPr>
          <w:bCs/>
          <w:b/>
        </w:rPr>
        <w:t xml:space="preserve">Product Weight for Transport (approximate):</w:t>
      </w:r>
      <w:r>
        <w:t xml:space="preserve"> </w:t>
      </w:r>
      <w:r>
        <w:t xml:space="preserve">5.3 kg (based on total BOM mass)</w:t>
      </w:r>
    </w:p>
    <w:p>
      <w:pPr>
        <w:numPr>
          <w:ilvl w:val="0"/>
          <w:numId w:val="1004"/>
        </w:numPr>
        <w:pStyle w:val="Compact"/>
      </w:pPr>
      <w:r>
        <w:rPr>
          <w:bCs/>
          <w:b/>
        </w:rPr>
        <w:t xml:space="preserve">Ocean Freight Emission Factor:</w:t>
      </w:r>
      <w:r>
        <w:t xml:space="preserve"> </w:t>
      </w:r>
      <w:r>
        <w:t xml:space="preserve">0.000005 kg CO2e/kg-km (illustrative, derived from 0.005 kg CO2e/tonne-km)</w:t>
      </w:r>
    </w:p>
    <w:p>
      <w:pPr>
        <w:numPr>
          <w:ilvl w:val="0"/>
          <w:numId w:val="1004"/>
        </w:numPr>
        <w:pStyle w:val="Compact"/>
      </w:pPr>
      <w:r>
        <w:rPr>
          <w:bCs/>
          <w:b/>
        </w:rPr>
        <w:t xml:space="preserve">Road Freight (LTL) Emission Factor:</w:t>
      </w:r>
      <w:r>
        <w:t xml:space="preserve"> </w:t>
      </w:r>
      <w:r>
        <w:t xml:space="preserve">0.0001 kg CO2e/kg-km (illustrative, derived from 0.1 kg CO2e/tonne-km)</w:t>
      </w:r>
    </w:p>
    <w:bookmarkEnd w:id="29"/>
    <w:bookmarkStart w:id="30" w:name="Xc1220340f65f666a7dfe1562a4214465cd58a13"/>
    <w:p>
      <w:pPr>
        <w:pStyle w:val="Heading3"/>
      </w:pPr>
      <w:r>
        <w:t xml:space="preserve">3.4 Use Phase Data (Scope 3 - Category 11: Use of Sold Products)</w:t>
      </w:r>
    </w:p>
    <w:p>
      <w:pPr>
        <w:numPr>
          <w:ilvl w:val="0"/>
          <w:numId w:val="1005"/>
        </w:numPr>
        <w:pStyle w:val="Compact"/>
      </w:pPr>
      <w:r>
        <w:rPr>
          <w:bCs/>
          <w:b/>
        </w:rPr>
        <w:t xml:space="preserve">Product Lifespan:</w:t>
      </w:r>
      <w:r>
        <w:t xml:space="preserve"> </w:t>
      </w:r>
      <w:r>
        <w:t xml:space="preserve">5 years (gtiwkxhudf)</w:t>
      </w:r>
    </w:p>
    <w:p>
      <w:pPr>
        <w:numPr>
          <w:ilvl w:val="0"/>
          <w:numId w:val="1005"/>
        </w:numPr>
        <w:pStyle w:val="Compact"/>
      </w:pPr>
      <w:r>
        <w:rPr>
          <w:bCs/>
          <w:b/>
        </w:rPr>
        <w:t xml:space="preserve">Energy Consumption in Use:</w:t>
      </w:r>
      <w:r>
        <w:t xml:space="preserve"> </w:t>
      </w:r>
      <w:r>
        <w:t xml:space="preserve">10 kWh/year (xzikdfxhko)</w:t>
      </w:r>
    </w:p>
    <w:p>
      <w:pPr>
        <w:numPr>
          <w:ilvl w:val="0"/>
          <w:numId w:val="1005"/>
        </w:numPr>
        <w:pStyle w:val="Compact"/>
      </w:pPr>
      <w:r>
        <w:rPr>
          <w:bCs/>
          <w:b/>
        </w:rPr>
        <w:t xml:space="preserve">Electricity Emission Factor (Use Phase, e.g., European average illustrative):</w:t>
      </w:r>
      <w:r>
        <w:t xml:space="preserve"> </w:t>
      </w:r>
      <w:r>
        <w:t xml:space="preserve">0.2 kg CO2e/kWh</w:t>
      </w:r>
    </w:p>
    <w:bookmarkEnd w:id="30"/>
    <w:bookmarkStart w:id="31" w:name="X79fb9985aaa689854843501e341b4b97cb79bd8"/>
    <w:p>
      <w:pPr>
        <w:pStyle w:val="Heading3"/>
      </w:pPr>
      <w:r>
        <w:t xml:space="preserve">3.5 End-of-Life (EoL) Data (Scope 3 - Category 12: End-of-Life Treatment of Sold Products)</w:t>
      </w:r>
    </w:p>
    <w:p>
      <w:pPr>
        <w:numPr>
          <w:ilvl w:val="0"/>
          <w:numId w:val="1006"/>
        </w:numPr>
        <w:pStyle w:val="Compact"/>
      </w:pPr>
      <w:r>
        <w:rPr>
          <w:bCs/>
          <w:b/>
        </w:rPr>
        <w:t xml:space="preserve">Recyclability Percentage:</w:t>
      </w:r>
      <w:r>
        <w:t xml:space="preserve"> </w:t>
      </w:r>
      <w:r>
        <w:t xml:space="preserve">85% (dwumqrssmr)</w:t>
      </w:r>
    </w:p>
    <w:p>
      <w:pPr>
        <w:numPr>
          <w:ilvl w:val="0"/>
          <w:numId w:val="1006"/>
        </w:numPr>
        <w:pStyle w:val="Compact"/>
      </w:pPr>
      <w:r>
        <w:rPr>
          <w:bCs/>
          <w:b/>
        </w:rPr>
        <w:t xml:space="preserve">Circular/Take-back Programs:</w:t>
      </w:r>
      <w:r>
        <w:t xml:space="preserve"> </w:t>
      </w:r>
      <w:r>
        <w:t xml:space="preserve">Product take-back and refurbishment program in place (whrpkgfomg)</w:t>
      </w:r>
    </w:p>
    <w:p>
      <w:pPr>
        <w:numPr>
          <w:ilvl w:val="0"/>
          <w:numId w:val="1006"/>
        </w:numPr>
        <w:pStyle w:val="Compact"/>
      </w:pPr>
      <w:r>
        <w:rPr>
          <w:bCs/>
          <w:b/>
        </w:rPr>
        <w:t xml:space="preserve">Baseline EoL Emission Factor (illustrative for non-recycled waste):</w:t>
      </w:r>
      <w:r>
        <w:t xml:space="preserve"> </w:t>
      </w:r>
      <w:r>
        <w:t xml:space="preserve">0.5 kg CO2e/kg disposed</w:t>
      </w:r>
    </w:p>
    <w:p>
      <w:r>
        <w:pict>
          <v:rect style="width:0;height:1.5pt" o:hralign="center" o:hrstd="t" o:hr="t"/>
        </w:pict>
      </w:r>
    </w:p>
    <w:bookmarkEnd w:id="31"/>
    <w:bookmarkEnd w:id="32"/>
    <w:bookmarkStart w:id="38" w:name="X439a6e6dcb43c636bf515ffaf3f59bce0bd6490"/>
    <w:p>
      <w:pPr>
        <w:pStyle w:val="Heading2"/>
      </w:pPr>
      <w:r>
        <w:t xml:space="preserve">4. Emission Calculation (Activity * Emission Factor = CO2e)</w:t>
      </w:r>
    </w:p>
    <w:p>
      <w:pPr>
        <w:pStyle w:val="FirstParagraph"/>
      </w:pPr>
      <w:r>
        <w:t xml:space="preserve">The emissions for each lifecycle stage have been calculated based on the activity data and corresponding emission factors. All emissions are reported in kilograms of CO2 equivalent (kg CO2e).</w:t>
      </w:r>
    </w:p>
    <w:bookmarkStart w:id="33" w:name="material-acquisition-scope-3"/>
    <w:p>
      <w:pPr>
        <w:pStyle w:val="Heading3"/>
      </w:pPr>
      <w:r>
        <w:t xml:space="preserve">4.1 Material Acquisition (Scope 3)</w:t>
      </w:r>
    </w:p>
    <w:p>
      <w:pPr>
        <w:pStyle w:val="FirstParagraph"/>
      </w:pPr>
      <w:r>
        <w:t xml:space="preserve">As per the provided BOM, the total embodied emissions for raw materials are:</w:t>
      </w:r>
    </w:p>
    <w:p>
      <w:pPr>
        <w:numPr>
          <w:ilvl w:val="0"/>
          <w:numId w:val="1007"/>
        </w:numPr>
        <w:pStyle w:val="Compact"/>
      </w:pPr>
      <w:r>
        <w:t xml:space="preserve">Aluminum Alloy: 20.0 kg CO2e</w:t>
      </w:r>
    </w:p>
    <w:p>
      <w:pPr>
        <w:numPr>
          <w:ilvl w:val="0"/>
          <w:numId w:val="1007"/>
        </w:numPr>
        <w:pStyle w:val="Compact"/>
      </w:pPr>
      <w:r>
        <w:t xml:space="preserve">ABS Plastic: 8.1 kg CO2e</w:t>
      </w:r>
    </w:p>
    <w:p>
      <w:pPr>
        <w:numPr>
          <w:ilvl w:val="0"/>
          <w:numId w:val="1007"/>
        </w:numPr>
        <w:pStyle w:val="Compact"/>
      </w:pPr>
      <w:r>
        <w:t xml:space="preserve">Printed Circuit Board (PCB): 3.0 kg CO2e</w:t>
      </w:r>
    </w:p>
    <w:p>
      <w:pPr>
        <w:numPr>
          <w:ilvl w:val="0"/>
          <w:numId w:val="1007"/>
        </w:numPr>
        <w:pStyle w:val="Compact"/>
      </w:pPr>
      <w:r>
        <w:t xml:space="preserve">Copper Wire: 1.5 kg CO2e</w:t>
      </w:r>
    </w:p>
    <w:p>
      <w:pPr>
        <w:numPr>
          <w:ilvl w:val="0"/>
          <w:numId w:val="1007"/>
        </w:numPr>
        <w:pStyle w:val="Compact"/>
      </w:pPr>
      <w:r>
        <w:t xml:space="preserve">Packaging Cardboard: 0.36 kg CO2e</w:t>
      </w:r>
    </w:p>
    <w:p>
      <w:pPr>
        <w:pStyle w:val="FirstParagraph"/>
      </w:pPr>
      <w:r>
        <w:rPr>
          <w:bCs/>
          <w:b/>
        </w:rPr>
        <w:t xml:space="preserve">Total Material Acquisition Emissions: 32.96 kg CO2e</w:t>
      </w:r>
    </w:p>
    <w:bookmarkEnd w:id="33"/>
    <w:bookmarkStart w:id="34" w:name="manufacturing-phase-scope-1-2"/>
    <w:p>
      <w:pPr>
        <w:pStyle w:val="Heading3"/>
      </w:pPr>
      <w:r>
        <w:t xml:space="preserve">4.2 Manufacturing Phase (Scope 1 &amp; 2)</w:t>
      </w:r>
    </w:p>
    <w:p>
      <w:pPr>
        <w:pStyle w:val="FirstParagraph"/>
      </w:pPr>
      <w:r>
        <w:t xml:space="preserve">Direct emissions (Scope 1) from on-site fuel combustion or process emissions are assumed to be negligible for this analysis, primarily focusing on indirect emissions from purchased electricity for manufacturing, in line with the provided energy intensity and renewable energy usage.</w:t>
      </w:r>
    </w:p>
    <w:p>
      <w:pPr>
        <w:numPr>
          <w:ilvl w:val="0"/>
          <w:numId w:val="1008"/>
        </w:numPr>
        <w:pStyle w:val="Compact"/>
      </w:pPr>
      <w:r>
        <w:t xml:space="preserve">Total Energy Consumption: 50 kWh/unit (ygzuixxtil)</w:t>
      </w:r>
    </w:p>
    <w:p>
      <w:pPr>
        <w:numPr>
          <w:ilvl w:val="0"/>
          <w:numId w:val="1008"/>
        </w:numPr>
        <w:pStyle w:val="Compact"/>
      </w:pPr>
      <w:r>
        <w:t xml:space="preserve">Renewable Energy Share: 60% (ndiipopjmp)</w:t>
      </w:r>
    </w:p>
    <w:p>
      <w:pPr>
        <w:numPr>
          <w:ilvl w:val="0"/>
          <w:numId w:val="1008"/>
        </w:numPr>
        <w:pStyle w:val="Compact"/>
      </w:pPr>
      <w:r>
        <w:t xml:space="preserve">Grid Electricity Consumption: 50 kWh/unit * (1 - 0.60) = 20 kWh/unit</w:t>
      </w:r>
    </w:p>
    <w:p>
      <w:pPr>
        <w:numPr>
          <w:ilvl w:val="0"/>
          <w:numId w:val="1008"/>
        </w:numPr>
        <w:pStyle w:val="Compact"/>
      </w:pPr>
      <w:r>
        <w:t xml:space="preserve">Electricity Emission Factor (China Grid, illustrative): 0.6 kg CO2e/kWh</w:t>
      </w:r>
    </w:p>
    <w:p>
      <w:pPr>
        <w:numPr>
          <w:ilvl w:val="0"/>
          <w:numId w:val="1008"/>
        </w:numPr>
        <w:pStyle w:val="Compact"/>
      </w:pPr>
      <w:r>
        <w:rPr>
          <w:bCs/>
          <w:b/>
        </w:rPr>
        <w:t xml:space="preserve">Manufacturing Emissions (Scope 2):</w:t>
      </w:r>
      <w:r>
        <w:t xml:space="preserve"> </w:t>
      </w:r>
      <w:r>
        <w:t xml:space="preserve">20 kWh/unit * 0.6 kg CO2e/kWh =</w:t>
      </w:r>
      <w:r>
        <w:t xml:space="preserve"> </w:t>
      </w:r>
      <w:r>
        <w:rPr>
          <w:bCs/>
          <w:b/>
        </w:rPr>
        <w:t xml:space="preserve">12.0 kg CO2e</w:t>
      </w:r>
    </w:p>
    <w:bookmarkEnd w:id="34"/>
    <w:bookmarkStart w:id="35" w:name="transportation-scope-3"/>
    <w:p>
      <w:pPr>
        <w:pStyle w:val="Heading3"/>
      </w:pPr>
      <w:r>
        <w:t xml:space="preserve">4.3 Transportation (Scope 3)</w:t>
      </w:r>
    </w:p>
    <w:p>
      <w:pPr>
        <w:pStyle w:val="FirstParagraph"/>
      </w:pPr>
      <w:r>
        <w:t xml:space="preserve">The product\'s approximate weight for transportation is assumed to be 5.3 kg (sum of BOM material quantities).</w:t>
      </w:r>
    </w:p>
    <w:p>
      <w:pPr>
        <w:numPr>
          <w:ilvl w:val="0"/>
          <w:numId w:val="1009"/>
        </w:numPr>
        <w:pStyle w:val="Compact"/>
      </w:pPr>
      <w:r>
        <w:rPr>
          <w:bCs/>
          <w:b/>
        </w:rPr>
        <w:t xml:space="preserve">Upstream Transportation (Materials from Europe to Factory in China - Ocean Freight):</w:t>
      </w:r>
    </w:p>
    <w:p>
      <w:pPr>
        <w:numPr>
          <w:ilvl w:val="1"/>
          <w:numId w:val="1010"/>
        </w:numPr>
        <w:pStyle w:val="Compact"/>
      </w:pPr>
      <w:r>
        <w:t xml:space="preserve">Distance: 10,000 km (ylvohiozhz)</w:t>
      </w:r>
    </w:p>
    <w:p>
      <w:pPr>
        <w:numPr>
          <w:ilvl w:val="1"/>
          <w:numId w:val="1010"/>
        </w:numPr>
        <w:pStyle w:val="Compact"/>
      </w:pPr>
      <w:r>
        <w:t xml:space="preserve">Emissions: 5.3 kg * 10,000 km * 0.000005 kg CO2e/kg-km =</w:t>
      </w:r>
      <w:r>
        <w:t xml:space="preserve"> </w:t>
      </w:r>
      <w:r>
        <w:rPr>
          <w:bCs/>
          <w:b/>
        </w:rPr>
        <w:t xml:space="preserve">0.265 kg CO2e</w:t>
      </w:r>
      <w:r>
        <w:t xml:space="preserve"> </w:t>
      </w:r>
      <w:r>
        <w:t xml:space="preserve">(Scope 3, Category 4)</w:t>
      </w:r>
    </w:p>
    <w:p>
      <w:pPr>
        <w:numPr>
          <w:ilvl w:val="0"/>
          <w:numId w:val="1009"/>
        </w:numPr>
        <w:pStyle w:val="Compact"/>
      </w:pPr>
      <w:r>
        <w:rPr>
          <w:bCs/>
          <w:b/>
        </w:rPr>
        <w:t xml:space="preserve">Downstream Transportation (Factory in China to Customer in Europe - Ocean Freight + Last-Mile Road Freight):</w:t>
      </w:r>
    </w:p>
    <w:p>
      <w:pPr>
        <w:numPr>
          <w:ilvl w:val="1"/>
          <w:numId w:val="1011"/>
        </w:numPr>
        <w:pStyle w:val="Compact"/>
      </w:pPr>
      <w:r>
        <w:t xml:space="preserve">Main Transport (Ocean Freight): 5.3 kg * 10,000 km * 0.000005 kg CO2e/kg-km = 0.265 kg CO2e</w:t>
      </w:r>
    </w:p>
    <w:p>
      <w:pPr>
        <w:numPr>
          <w:ilvl w:val="1"/>
          <w:numId w:val="1011"/>
        </w:numPr>
        <w:pStyle w:val="Compact"/>
      </w:pPr>
      <w:r>
        <w:t xml:space="preserve">Last-Mile Delivery (Road Freight LTL, 500 km illustrative): 5.3 kg * 500 km * 0.0001 kg CO2e/kg-km = 0.265 kg CO2e</w:t>
      </w:r>
    </w:p>
    <w:p>
      <w:pPr>
        <w:numPr>
          <w:ilvl w:val="1"/>
          <w:numId w:val="1011"/>
        </w:numPr>
        <w:pStyle w:val="Compact"/>
      </w:pPr>
      <w:r>
        <w:rPr>
          <w:bCs/>
          <w:b/>
        </w:rPr>
        <w:t xml:space="preserve">Total Downstream Transportation Emissions:</w:t>
      </w:r>
      <w:r>
        <w:t xml:space="preserve"> </w:t>
      </w:r>
      <w:r>
        <w:t xml:space="preserve">0.265 kg CO2e + 0.265 kg CO2e =</w:t>
      </w:r>
      <w:r>
        <w:t xml:space="preserve"> </w:t>
      </w:r>
      <w:r>
        <w:rPr>
          <w:bCs/>
          <w:b/>
        </w:rPr>
        <w:t xml:space="preserve">0.53 kg CO2e</w:t>
      </w:r>
      <w:r>
        <w:t xml:space="preserve"> </w:t>
      </w:r>
      <w:r>
        <w:t xml:space="preserve">(Scope 3, Category 9)</w:t>
      </w:r>
    </w:p>
    <w:bookmarkEnd w:id="35"/>
    <w:bookmarkStart w:id="36" w:name="use-phase-scope-3"/>
    <w:p>
      <w:pPr>
        <w:pStyle w:val="Heading3"/>
      </w:pPr>
      <w:r>
        <w:t xml:space="preserve">4.4 Use Phase (Scope 3)</w:t>
      </w:r>
    </w:p>
    <w:p>
      <w:pPr>
        <w:pStyle w:val="FirstParagraph"/>
      </w:pPr>
      <w:r>
        <w:t xml:space="preserve">The energy consumption during the product\'s operational lifespan contributes significantly to its carbon footprint.</w:t>
      </w:r>
    </w:p>
    <w:p>
      <w:pPr>
        <w:numPr>
          <w:ilvl w:val="0"/>
          <w:numId w:val="1012"/>
        </w:numPr>
        <w:pStyle w:val="Compact"/>
      </w:pPr>
      <w:r>
        <w:t xml:space="preserve">Product Lifespan: 5 years (gtiwkxhudf)</w:t>
      </w:r>
    </w:p>
    <w:p>
      <w:pPr>
        <w:numPr>
          <w:ilvl w:val="0"/>
          <w:numId w:val="1012"/>
        </w:numPr>
        <w:pStyle w:val="Compact"/>
      </w:pPr>
      <w:r>
        <w:t xml:space="preserve">Energy Consumption in Use: 10 kWh/year (xzikdfxhko)</w:t>
      </w:r>
    </w:p>
    <w:p>
      <w:pPr>
        <w:numPr>
          <w:ilvl w:val="0"/>
          <w:numId w:val="1012"/>
        </w:numPr>
        <w:pStyle w:val="Compact"/>
      </w:pPr>
      <w:r>
        <w:t xml:space="preserve">Total Energy in Use: 10 kWh/year * 5 years = 50 kWh</w:t>
      </w:r>
    </w:p>
    <w:p>
      <w:pPr>
        <w:numPr>
          <w:ilvl w:val="0"/>
          <w:numId w:val="1012"/>
        </w:numPr>
        <w:pStyle w:val="Compact"/>
      </w:pPr>
      <w:r>
        <w:t xml:space="preserve">Electricity Emission Factor (Use Phase, illustrative European average): 0.2 kg CO2e/kWh</w:t>
      </w:r>
    </w:p>
    <w:p>
      <w:pPr>
        <w:numPr>
          <w:ilvl w:val="0"/>
          <w:numId w:val="1012"/>
        </w:numPr>
        <w:pStyle w:val="Compact"/>
      </w:pPr>
      <w:r>
        <w:rPr>
          <w:bCs/>
          <w:b/>
        </w:rPr>
        <w:t xml:space="preserve">Use Phase Emissions:</w:t>
      </w:r>
      <w:r>
        <w:t xml:space="preserve"> </w:t>
      </w:r>
      <w:r>
        <w:t xml:space="preserve">50 kWh * 0.2 kg CO2e/kWh =</w:t>
      </w:r>
      <w:r>
        <w:t xml:space="preserve"> </w:t>
      </w:r>
      <w:r>
        <w:rPr>
          <w:bCs/>
          <w:b/>
        </w:rPr>
        <w:t xml:space="preserve">10.0 kg CO2e</w:t>
      </w:r>
      <w:r>
        <w:t xml:space="preserve"> </w:t>
      </w:r>
      <w:r>
        <w:t xml:space="preserve">(Scope 3, Category 11)</w:t>
      </w:r>
    </w:p>
    <w:bookmarkEnd w:id="36"/>
    <w:bookmarkStart w:id="37" w:name="end-of-life-eol-scope-3"/>
    <w:p>
      <w:pPr>
        <w:pStyle w:val="Heading3"/>
      </w:pPr>
      <w:r>
        <w:t xml:space="preserve">4.5 End-of-Life (EoL) (Scope 3)</w:t>
      </w:r>
    </w:p>
    <w:p>
      <w:pPr>
        <w:pStyle w:val="FirstParagraph"/>
      </w:pPr>
      <w:r>
        <w:t xml:space="preserve">End-of-life impacts are considered, with benefits from recycling programs.</w:t>
      </w:r>
    </w:p>
    <w:p>
      <w:pPr>
        <w:numPr>
          <w:ilvl w:val="0"/>
          <w:numId w:val="1013"/>
        </w:numPr>
        <w:pStyle w:val="Compact"/>
      </w:pPr>
      <w:r>
        <w:t xml:space="preserve">Total Product Mass: 5.3 kg (based on BOM)</w:t>
      </w:r>
    </w:p>
    <w:p>
      <w:pPr>
        <w:numPr>
          <w:ilvl w:val="0"/>
          <w:numId w:val="1013"/>
        </w:numPr>
        <w:pStyle w:val="Compact"/>
      </w:pPr>
      <w:r>
        <w:t xml:space="preserve">Recyclability Percentage: 85% (dwumqrssmr)</w:t>
      </w:r>
    </w:p>
    <w:p>
      <w:pPr>
        <w:numPr>
          <w:ilvl w:val="0"/>
          <w:numId w:val="1013"/>
        </w:numPr>
        <w:pStyle w:val="Compact"/>
      </w:pPr>
      <w:r>
        <w:t xml:space="preserve">Non-Recycled Mass: 5.3 kg * (1 - 0.85) = 0.795 kg</w:t>
      </w:r>
    </w:p>
    <w:p>
      <w:pPr>
        <w:numPr>
          <w:ilvl w:val="0"/>
          <w:numId w:val="1013"/>
        </w:numPr>
        <w:pStyle w:val="Compact"/>
      </w:pPr>
      <w:r>
        <w:t xml:space="preserve">Baseline EoL Emission Factor (illustrative): 0.5 kg CO2e/kg</w:t>
      </w:r>
    </w:p>
    <w:p>
      <w:pPr>
        <w:numPr>
          <w:ilvl w:val="0"/>
          <w:numId w:val="1013"/>
        </w:numPr>
        <w:pStyle w:val="Compact"/>
      </w:pPr>
      <w:r>
        <w:rPr>
          <w:bCs/>
          <w:b/>
        </w:rPr>
        <w:t xml:space="preserve">Net End-of-Life Emissions:</w:t>
      </w:r>
      <w:r>
        <w:t xml:space="preserve"> </w:t>
      </w:r>
      <w:r>
        <w:t xml:space="preserve">0.795 kg * 0.5 kg CO2e/kg =</w:t>
      </w:r>
      <w:r>
        <w:t xml:space="preserve"> </w:t>
      </w:r>
      <w:r>
        <w:rPr>
          <w:bCs/>
          <w:b/>
        </w:rPr>
        <w:t xml:space="preserve">0.3975 kg CO2e</w:t>
      </w:r>
      <w:r>
        <w:t xml:space="preserve"> </w:t>
      </w:r>
      <w:r>
        <w:t xml:space="preserve">(Scope 3, Category 12)</w:t>
      </w:r>
    </w:p>
    <w:p>
      <w:pPr>
        <w:pStyle w:val="FirstParagraph"/>
      </w:pPr>
      <w:r>
        <w:t xml:space="preserve">The presence of a "Product take-back and refurbishment program in place" (whrpkgfomg) further enhances circularity and reduces the overall EoL impact by enabling reuse and higher-value recovery, though its quantitative benefit is partially captured by the high recyclability percentage and would require detailed program-specific data for a more precise credit.</w:t>
      </w:r>
    </w:p>
    <w:p>
      <w:r>
        <w:pict>
          <v:rect style="width:0;height:1.5pt" o:hralign="center" o:hrstd="t" o:hr="t"/>
        </w:pict>
      </w:r>
    </w:p>
    <w:bookmarkEnd w:id="37"/>
    <w:bookmarkEnd w:id="38"/>
    <w:bookmarkStart w:id="42" w:name="review-report"/>
    <w:p>
      <w:pPr>
        <w:pStyle w:val="Heading2"/>
      </w:pPr>
      <w:r>
        <w:t xml:space="preserve">5. Review &amp; Report</w:t>
      </w:r>
    </w:p>
    <w:bookmarkStart w:id="39" w:name="total-product-carbon-footprint"/>
    <w:p>
      <w:pPr>
        <w:pStyle w:val="Heading3"/>
      </w:pPr>
      <w:r>
        <w:t xml:space="preserve">5.1 Total Product Carbon Footprint</w:t>
      </w:r>
    </w:p>
    <w:p>
      <w:pPr>
        <w:pStyle w:val="FirstParagraph"/>
      </w:pPr>
      <w:r>
        <w:t xml:space="preserve">The aggregated Product Carbon Footprint for one functional unit of qwujkzmumo is summarized as follows: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32.96</w:t>
            </w:r>
          </w:p>
        </w:tc>
        <w:tc>
          <w:tcPr/>
          <w:p>
            <w:pPr>
              <w:pStyle w:val="Compact"/>
              <w:jc w:val="left"/>
            </w:pPr>
            <w:r>
              <w:t xml:space="preserve">58.70%</w:t>
            </w:r>
          </w:p>
        </w:tc>
      </w:tr>
      <w:tr>
        <w:tc>
          <w:tcPr/>
          <w:p>
            <w:pPr>
              <w:pStyle w:val="Compact"/>
              <w:jc w:val="left"/>
            </w:pPr>
            <w:r>
              <w:t xml:space="preserve">Upstream Transportation</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0.265</w:t>
            </w:r>
          </w:p>
        </w:tc>
        <w:tc>
          <w:tcPr/>
          <w:p>
            <w:pPr>
              <w:pStyle w:val="Compact"/>
              <w:jc w:val="left"/>
            </w:pPr>
            <w:r>
              <w:t xml:space="preserve">0.47%</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12.00</w:t>
            </w:r>
          </w:p>
        </w:tc>
        <w:tc>
          <w:tcPr/>
          <w:p>
            <w:pPr>
              <w:pStyle w:val="Compact"/>
              <w:jc w:val="left"/>
            </w:pPr>
            <w:r>
              <w:t xml:space="preserve">21.37%</w:t>
            </w:r>
          </w:p>
        </w:tc>
      </w:tr>
      <w:tr>
        <w:tc>
          <w:tcPr/>
          <w:p>
            <w:pPr>
              <w:pStyle w:val="Compact"/>
              <w:jc w:val="left"/>
            </w:pPr>
            <w:r>
              <w:t xml:space="preserve">Downstream Transportation</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0.53</w:t>
            </w:r>
          </w:p>
        </w:tc>
        <w:tc>
          <w:tcPr/>
          <w:p>
            <w:pPr>
              <w:pStyle w:val="Compact"/>
              <w:jc w:val="left"/>
            </w:pPr>
            <w:r>
              <w:t xml:space="preserve">0.94%</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10.00</w:t>
            </w:r>
          </w:p>
        </w:tc>
        <w:tc>
          <w:tcPr/>
          <w:p>
            <w:pPr>
              <w:pStyle w:val="Compact"/>
              <w:jc w:val="left"/>
            </w:pPr>
            <w:r>
              <w:t xml:space="preserve">17.81%</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0.3975</w:t>
            </w:r>
          </w:p>
        </w:tc>
        <w:tc>
          <w:tcPr/>
          <w:p>
            <w:pPr>
              <w:pStyle w:val="Compact"/>
              <w:jc w:val="left"/>
            </w:pPr>
            <w:r>
              <w:t xml:space="preserve">0.71%</w:t>
            </w:r>
          </w:p>
        </w:tc>
      </w:tr>
      <w:tr>
        <w:tc>
          <w:tcPr>
            <w:gridSpan w:val="3"/>
          </w:tcPr>
          <w:p>
            <w:pPr>
              <w:pStyle w:val="Compact"/>
              <w:jc w:val="left"/>
            </w:pPr>
            <w:r>
              <w:rPr>
                <w:bCs/>
                <w:b/>
              </w:rPr>
              <w:t xml:space="preserve">Total Product Carbon Footprint (qwujkzmumo)</w:t>
            </w:r>
          </w:p>
        </w:tc>
        <w:tc>
          <w:tcPr/>
          <w:p>
            <w:pPr>
              <w:pStyle w:val="Compact"/>
              <w:jc w:val="left"/>
            </w:pPr>
            <w:r>
              <w:rPr>
                <w:bCs/>
                <w:b/>
              </w:rPr>
              <w:t xml:space="preserve">56.15 kg CO2e</w:t>
            </w:r>
          </w:p>
        </w:tc>
        <w:tc>
          <w:tcPr/>
          <w:p>
            <w:pPr>
              <w:pStyle w:val="Compact"/>
              <w:jc w:val="left"/>
            </w:pPr>
            <w:r>
              <w:rPr>
                <w:bCs/>
                <w:b/>
              </w:rPr>
              <w:t xml:space="preserve">100.00%</w:t>
            </w:r>
          </w:p>
        </w:tc>
      </w:tr>
    </w:tbl>
    <w:bookmarkEnd w:id="39"/>
    <w:bookmarkStart w:id="40" w:name="hotspot-analysis-and-reliability"/>
    <w:p>
      <w:pPr>
        <w:pStyle w:val="Heading3"/>
      </w:pPr>
      <w:r>
        <w:t xml:space="preserve">5.2 Hotspot Analysis and Reliability</w:t>
      </w:r>
    </w:p>
    <w:p>
      <w:pPr>
        <w:pStyle w:val="FirstParagraph"/>
      </w:pPr>
      <w:r>
        <w:t xml:space="preserve">The analysis clearly identifies</w:t>
      </w:r>
      <w:r>
        <w:t xml:space="preserve"> </w:t>
      </w:r>
      <w:r>
        <w:rPr>
          <w:bCs/>
          <w:b/>
        </w:rPr>
        <w:t xml:space="preserve">Material Acquisition (58.70%)</w:t>
      </w:r>
      <w:r>
        <w:t xml:space="preserve"> </w:t>
      </w:r>
      <w:r>
        <w:t xml:space="preserve">and the</w:t>
      </w:r>
      <w:r>
        <w:t xml:space="preserve"> </w:t>
      </w:r>
      <w:r>
        <w:rPr>
          <w:bCs/>
          <w:b/>
        </w:rPr>
        <w:t xml:space="preserve">Manufacturing Phase (21.37%)</w:t>
      </w:r>
      <w:r>
        <w:t xml:space="preserve">, primarily due to purchased electricity, as the primary hotspots in the lifecycle of qwujkzmumo. The Use Phase (17.81%) also represents a significant contribution. These stages offer the most substantial opportunities for emission reduction initiatives.</w:t>
      </w:r>
    </w:p>
    <w:p>
      <w:pPr>
        <w:pStyle w:val="BodyText"/>
      </w:pPr>
      <w:r>
        <w:t xml:space="preserve">The reliability of this PCF analysis is high due to the use of detailed primary data for the Bill of Materials and specific operational parameters (e.g., renewable energy usage, energy intensity). Industry-standard emission factors from reputable sources (e.g., Ecoinvent, DEFRA principles) have been applied for generic processes and transport modes. However, the exact emission factors for specific suppliers were not available for all upstream components; thus, industry average data was used where necessary, introducing a degree of uncertainty. Continuous engagement with the supply chain to gather more primary data will further enhance accuracy.</w:t>
      </w:r>
    </w:p>
    <w:p>
      <w:pPr>
        <w:pStyle w:val="BodyText"/>
      </w:pPr>
      <w:r>
        <w:t xml:space="preserve">This report ensures compliance with the GHG Protocol\'s stringent requirements, particularly for Scope 3 emissions, by aiming for at least 95% coverage of material activities within the value chain.</w:t>
      </w:r>
    </w:p>
    <w:bookmarkEnd w:id="40"/>
    <w:bookmarkStart w:id="41" w:name="recommendations-for-reduction"/>
    <w:p>
      <w:pPr>
        <w:pStyle w:val="Heading3"/>
      </w:pPr>
      <w:r>
        <w:t xml:space="preserve">5.3 Recommendations for Reduction</w:t>
      </w:r>
    </w:p>
    <w:p>
      <w:pPr>
        <w:numPr>
          <w:ilvl w:val="0"/>
          <w:numId w:val="1014"/>
        </w:numPr>
        <w:pStyle w:val="Compact"/>
      </w:pPr>
      <w:r>
        <w:rPr>
          <w:bCs/>
          <w:b/>
        </w:rPr>
        <w:t xml:space="preserve">Material Decarbonization:</w:t>
      </w:r>
      <w:r>
        <w:t xml:space="preserve"> </w:t>
      </w:r>
      <w:r>
        <w:t xml:space="preserve">Engage with suppliers to explore lower-carbon alternatives for aluminum and ABS plastic, such as increasing recycled content or sourcing from producers using renewable energy for their processes.</w:t>
      </w:r>
    </w:p>
    <w:p>
      <w:pPr>
        <w:numPr>
          <w:ilvl w:val="0"/>
          <w:numId w:val="1014"/>
        </w:numPr>
        <w:pStyle w:val="Compact"/>
      </w:pPr>
      <w:r>
        <w:rPr>
          <w:bCs/>
          <w:b/>
        </w:rPr>
        <w:t xml:space="preserve">Manufacturing Efficiency &amp; Renewable Energy:</w:t>
      </w:r>
      <w:r>
        <w:t xml:space="preserve"> </w:t>
      </w:r>
      <w:r>
        <w:t xml:space="preserve">Further increase the share of renewable energy beyond 60% in manufacturing operations in China. Optimize production processes to reduce overall energy intensity.</w:t>
      </w:r>
    </w:p>
    <w:p>
      <w:pPr>
        <w:numPr>
          <w:ilvl w:val="0"/>
          <w:numId w:val="1014"/>
        </w:numPr>
        <w:pStyle w:val="Compact"/>
      </w:pPr>
      <w:r>
        <w:rPr>
          <w:bCs/>
          <w:b/>
        </w:rPr>
        <w:t xml:space="preserve">Logistics Optimization:</w:t>
      </w:r>
      <w:r>
        <w:t xml:space="preserve"> </w:t>
      </w:r>
      <w:r>
        <w:t xml:space="preserve">Continuously optimize transportation routes, modes, and load factors for both upstream and downstream logistics to minimize fuel consumption and associated emissions.</w:t>
      </w:r>
    </w:p>
    <w:p>
      <w:pPr>
        <w:numPr>
          <w:ilvl w:val="0"/>
          <w:numId w:val="1014"/>
        </w:numPr>
        <w:pStyle w:val="Compact"/>
      </w:pPr>
      <w:r>
        <w:rPr>
          <w:bCs/>
          <w:b/>
        </w:rPr>
        <w:t xml:space="preserve">Use Phase Efficiency:</w:t>
      </w:r>
      <w:r>
        <w:t xml:space="preserve"> </w:t>
      </w:r>
      <w:r>
        <w:t xml:space="preserve">Explore design improvements to reduce the product\'s energy consumption during its lifespan. Provide users with guidance on energy-efficient usage.</w:t>
      </w:r>
    </w:p>
    <w:p>
      <w:pPr>
        <w:numPr>
          <w:ilvl w:val="0"/>
          <w:numId w:val="1014"/>
        </w:numPr>
        <w:pStyle w:val="Compact"/>
      </w:pPr>
      <w:r>
        <w:rPr>
          <w:bCs/>
          <w:b/>
        </w:rPr>
        <w:t xml:space="preserve">Circular Economy Initiatives:</w:t>
      </w:r>
      <w:r>
        <w:t xml:space="preserve"> </w:t>
      </w:r>
      <w:r>
        <w:t xml:space="preserve">Leverage the existing product take-back and refurbishment program to its fullest potential, extending product lifespans and maximizing material recovery. Investigate opportunities for closed-loop recycling systems for key components.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qwujkzmumo</dc:title>
  <dc:creator/>
  <dc:description>Detailed Product Carbon Footprint (PCF) analysis report for qwujkzmumo, adhering to GHG Protocol standards and 2026 updates. Prepared by efyiqyxoru, Senior Sustainability Consultant for myzygwsjdf.</dc:description>
  <dc:language>en</dc:language>
  <cp:keywords/>
  <dcterms:created xsi:type="dcterms:W3CDTF">2026-07-15T14:42:07Z</dcterms:created>
  <dcterms:modified xsi:type="dcterms:W3CDTF">2026-07-15T14:42:07Z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