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qvptknqmjf</w:t>
      </w:r>
      <w:r>
        <w:t xml:space="preserve"> </w:t>
      </w:r>
      <w:r>
        <w:t xml:space="preserve">(EcoWidget</w:t>
      </w:r>
      <w:r>
        <w:t xml:space="preserve"> </w:t>
      </w:r>
      <w:r>
        <w:t xml:space="preserve">Pro)</w:t>
      </w:r>
      <w:r>
        <w:t xml:space="preserve"> </w:t>
      </w:r>
      <w:r>
        <w:t xml:space="preserve">-</w:t>
      </w:r>
      <w:r>
        <w:t xml:space="preserve"> </w:t>
      </w:r>
      <w:r>
        <w:t xml:space="preserve">dovshnttjd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qvptknqmjf (EcoWidget Pro)</w:t>
      </w:r>
    </w:p>
    <w:p>
      <w:pPr>
        <w:pStyle w:val="BodyText"/>
      </w:pPr>
      <w:r>
        <w:t xml:space="preserve">Company Name:</w:t>
      </w:r>
      <w:r>
        <w:t xml:space="preserve"> </w:t>
      </w:r>
      <w:r>
        <w:rPr>
          <w:bCs/>
          <w:b/>
        </w:rPr>
        <w:t xml:space="preserve">dovshnttjd</w:t>
      </w:r>
    </w:p>
    <w:p>
      <w:pPr>
        <w:pStyle w:val="BodyText"/>
      </w:pPr>
      <w:r>
        <w:t xml:space="preserve">Senior Sustainability Consultant:</w:t>
      </w:r>
      <w:r>
        <w:t xml:space="preserve"> </w:t>
      </w:r>
      <w:r>
        <w:rPr>
          <w:bCs/>
          <w:b/>
        </w:rPr>
        <w:t xml:space="preserve">fpsnuikdmw</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and industry standards. While efforts have been made to ensure accuracy, actual emissions may vary. Illustrative values are used for parameters where specific data was provided as a placeholder string.</w:t>
      </w:r>
    </w:p>
    <w:bookmarkEnd w:id="20"/>
    <w:bookmarkStart w:id="52" w:name="X32782bb93f6cbacb358f068785c29934ae289ff"/>
    <w:p>
      <w:pPr>
        <w:pStyle w:val="Heading1"/>
      </w:pPr>
      <w:r>
        <w:t xml:space="preserve">Product Carbon Footprint Analysis Report: qvptknqmjf (EcoWidget Pro)</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fpsnuikdmw</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qvptknqmjf, hereafter referred to as "EcoWidget Pro," manufactured by dovshnttjd. The analysis adheres to the Greenhouse Gas (GHG) Protocol standards, including the latest 2026 updates for the Land Sector and Removals (LSR) Standard and enhanced Scope 3 compliance requirements. The primary objective is to quantify the total greenhouse gas emissions (in CO2e) associated with the EcoWidget Pro across its lifecycle, identify emission hotspots, and provide a foundation for reduction strategies. The assessment boundary is \'factory-gate\', with an extended focus on critical upstream (supply chain) and downstream (use and end-of-life) impacts.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qvptknqmjf (EcoWidget Pro)</w:t>
      </w:r>
      <w:r>
        <w:t xml:space="preserve">. This unit represents the smallest measurable quantity of the product for which the environmental impact is being assessed.</w:t>
      </w:r>
    </w:p>
    <w:bookmarkEnd w:id="22"/>
    <w:bookmarkStart w:id="23" w:name="system-boundary"/>
    <w:p>
      <w:pPr>
        <w:pStyle w:val="Heading3"/>
      </w:pPr>
      <w:r>
        <w:t xml:space="preserve">System Boundary</w:t>
      </w:r>
    </w:p>
    <w:p>
      <w:pPr>
        <w:pStyle w:val="FirstParagraph"/>
      </w:pPr>
      <w:r>
        <w:t xml:space="preserve">The system boundary for this assessment is defined as</w:t>
      </w:r>
      <w:r>
        <w:t xml:space="preserve"> </w:t>
      </w:r>
      <w:r>
        <w:rPr>
          <w:bCs/>
          <w:b/>
        </w:rPr>
        <w:t xml:space="preserve">\'factory_gate\'</w:t>
      </w:r>
      <w:r>
        <w:t xml:space="preserve">, which typically includes raw material extraction, processing, component manufacturing, and final product assembly at the dovshnttjd production facility. However, in line with modern PCF best practices and the explicit requirements, this report extends beyond a strict factory gate to incorporate significant upstream (supply chain) and downstream (use phase, end-of-life) emissions to provide a more holistic view of the product\'s environmental impact. This approach ensures greater completeness, especially for Scope 3 emissions.</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(indicating that primary material sourcing and component manufacturing are significantly influenced by European supply chains, even if final assembly is in China).</w:t>
      </w:r>
    </w:p>
    <w:bookmarkEnd w:id="24"/>
    <w:bookmarkStart w:id="25" w:name="accounting-standard"/>
    <w:p>
      <w:pPr>
        <w:pStyle w:val="Heading3"/>
      </w:pPr>
      <w:r>
        <w:t xml:space="preserve">Accounting Standard</w:t>
      </w:r>
    </w:p>
    <w:p>
      <w:pPr>
        <w:pStyle w:val="FirstParagraph"/>
      </w:pPr>
      <w:r>
        <w:t xml:space="preserve">The Product Carbon Footprint is calculated in accordance with the</w:t>
      </w:r>
      <w:r>
        <w:t xml:space="preserve"> </w:t>
      </w:r>
      <w:r>
        <w:rPr>
          <w:bCs/>
          <w:b/>
        </w:rPr>
        <w:t xml:space="preserve">GHG Protocol</w:t>
      </w:r>
      <w:r>
        <w:t xml:space="preserve">, encompassing Scope 1 (direct emissions), Scope 2 (indirect emissions from purchased energy), and Scope 3 (other indirect emissions across the value chain) for comprehensive reporting.</w:t>
      </w:r>
    </w:p>
    <w:bookmarkEnd w:id="25"/>
    <w:bookmarkStart w:id="26" w:name="allocation"/>
    <w:p>
      <w:pPr>
        <w:pStyle w:val="Heading3"/>
      </w:pPr>
      <w:r>
        <w:t xml:space="preserve">Allocation</w:t>
      </w:r>
    </w:p>
    <w:p>
      <w:pPr>
        <w:pStyle w:val="FirstParagraph"/>
      </w:pPr>
      <w:r>
        <w:t xml:space="preserve">For multi-functional processes or facilities, emissions are allocated to the EcoWidget Pro based on physical parameters such as mass or economic value, depending on the specific co-products or by-products. Given the product-specific nature, direct attribution is prioritized where possible. For shared services or overheads, a reasonable proxy (e.g., floor space, production time) is used for allocation.</w:t>
      </w:r>
    </w:p>
    <w:p>
      <w:r>
        <w:pict>
          <v:rect style="width:0;height:1.5pt" o:hralign="center" o:hrstd="t" o:hr="t"/>
        </w:pict>
      </w:r>
    </w:p>
    <w:bookmarkEnd w:id="26"/>
    <w:bookmarkEnd w:id="27"/>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the EcoWidget Pro is mapped through several key stages, from raw material acquisition to end-of-life. Data collection focuses on quantifying the inputs and outputs at each stage, leveraging both primary data (where available) and high-quality secondary data (industry-standard emission factors) to ensure a robust analysis.</w:t>
      </w:r>
    </w:p>
    <w:bookmarkStart w:id="29" w:name="X1233c4b9eb7e88d318969aadbba2302f25233c5"/>
    <w:p>
      <w:pPr>
        <w:pStyle w:val="Heading3"/>
      </w:pPr>
      <w:r>
        <w:t xml:space="preserve">Detailed Bill of Materials (BOM) and Embodied Carbon</w:t>
      </w:r>
    </w:p>
    <w:p>
      <w:pPr>
        <w:pStyle w:val="FirstParagraph"/>
      </w:pPr>
      <w:r>
        <w:t xml:space="preserve">The Bill of Materials (BOM) for qvptknqmjf ("ivwlzrjw") is critical for understanding the material footprint. For the purpose of this illustrative report, the following table represents a detailed BOM with assumed quantities and emission factors, as the provided BOM data "ivwlzrjw" was a string literal. In a real assessment, the precise data from "ivwlzrjw" conforming to the specified format (ID, Description, Category, Process, Qty, Unit, Emission Factor, Total Carbon) would be used directly.</w:t>
      </w:r>
    </w:p>
    <w:bookmarkStart w:id="28" w:name="X0910d83f94d24cbd17c37d51cf2c7a9cb51a952"/>
    <w:p>
      <w:pPr>
        <w:pStyle w:val="Heading4"/>
      </w:pPr>
      <w:r>
        <w:t xml:space="preserve">Table 1: Illustrative Detailed Bill of Materials (BOM) for EcoWidget Pro</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9.00</w:t>
            </w:r>
          </w:p>
        </w:tc>
        <w:tc>
          <w:tcPr/>
          <w:p>
            <w:pPr>
              <w:pStyle w:val="Compact"/>
              <w:jc w:val="left"/>
            </w:pPr>
            <w:r>
              <w:t xml:space="preserve">1.35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4.50</w:t>
            </w:r>
          </w:p>
        </w:tc>
        <w:tc>
          <w:tcPr/>
          <w:p>
            <w:pPr>
              <w:pStyle w:val="Compact"/>
              <w:jc w:val="left"/>
            </w:pPr>
            <w:r>
              <w:t xml:space="preserve">0.23</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Soldering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20.00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Pulping, 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0.60</w:t>
            </w:r>
          </w:p>
        </w:tc>
        <w:tc>
          <w:tcPr/>
          <w:p>
            <w:pPr>
              <w:pStyle w:val="Compact"/>
              <w:jc w:val="left"/>
            </w:pPr>
            <w:r>
              <w:t xml:space="preserve">0.12</w:t>
            </w:r>
          </w:p>
        </w:tc>
      </w:tr>
      <w:tr>
        <w:tc>
          <w:tcPr>
            <w:gridSpan w:val="7"/>
          </w:tcPr>
          <w:p>
            <w:pPr>
              <w:pStyle w:val="Compact"/>
              <w:jc w:val="right"/>
            </w:pPr>
            <w:r>
              <w:rPr>
                <w:bCs/>
                <w:b/>
              </w:rPr>
              <w:t xml:space="preserve">Total Material Embodied Carbon (illustrative):</w:t>
            </w:r>
          </w:p>
        </w:tc>
        <w:tc>
          <w:tcPr/>
          <w:p>
            <w:pPr>
              <w:pStyle w:val="Compact"/>
              <w:jc w:val="left"/>
            </w:pPr>
            <w:r>
              <w:rPr>
                <w:bCs/>
                <w:b/>
              </w:rPr>
              <w:t xml:space="preserve">37.45</w:t>
            </w:r>
          </w:p>
        </w:tc>
      </w:tr>
    </w:tbl>
    <w:bookmarkEnd w:id="28"/>
    <w:bookmarkEnd w:id="29"/>
    <w:bookmarkStart w:id="30" w:name="energy-inputs-for-production"/>
    <w:p>
      <w:pPr>
        <w:pStyle w:val="Heading3"/>
      </w:pPr>
      <w:r>
        <w:t xml:space="preserve">Energy Inputs for Production</w:t>
      </w:r>
    </w:p>
    <w:p>
      <w:pPr>
        <w:numPr>
          <w:ilvl w:val="0"/>
          <w:numId w:val="1002"/>
        </w:numPr>
        <w:pStyle w:val="Compact"/>
      </w:pPr>
      <w:r>
        <w:rPr>
          <w:bCs/>
          <w:b/>
        </w:rPr>
        <w:t xml:space="preserve">Renewable Energy Usage (lrilqihmsk):</w:t>
      </w:r>
      <w:r>
        <w:t xml:space="preserve"> </w:t>
      </w:r>
      <w:r>
        <w:t xml:space="preserve">For dovshnttjd\'s production in China, an illustrative</w:t>
      </w:r>
      <w:r>
        <w:t xml:space="preserve"> </w:t>
      </w:r>
      <w:r>
        <w:rPr>
          <w:bCs/>
          <w:b/>
        </w:rPr>
        <w:t xml:space="preserve">30%</w:t>
      </w:r>
      <w:r>
        <w:t xml:space="preserve"> </w:t>
      </w:r>
      <w:r>
        <w:t xml:space="preserve">of electricity consumption is assumed to be sourced from renewable energy, impacting Scope 2 emissions.</w:t>
      </w:r>
    </w:p>
    <w:p>
      <w:pPr>
        <w:numPr>
          <w:ilvl w:val="0"/>
          <w:numId w:val="1002"/>
        </w:numPr>
        <w:pStyle w:val="Compact"/>
      </w:pPr>
      <w:r>
        <w:rPr>
          <w:bCs/>
          <w:b/>
        </w:rPr>
        <w:t xml:space="preserve">Energy Intensity (kWh/unit) (fjfhirgqri):</w:t>
      </w:r>
      <w:r>
        <w:t xml:space="preserve"> </w:t>
      </w:r>
      <w:r>
        <w:t xml:space="preserve">The manufacturing process of EcoWidget Pro has an illustrative energy intensity of</w:t>
      </w:r>
      <w:r>
        <w:t xml:space="preserve"> </w:t>
      </w:r>
      <w:r>
        <w:rPr>
          <w:bCs/>
          <w:b/>
        </w:rPr>
        <w:t xml:space="preserve">5.0 kWh/unit</w:t>
      </w:r>
      <w:r>
        <w:t xml:space="preserve">. This includes all electricity and heat consumed directly at the final assembly plant.</w:t>
      </w:r>
    </w:p>
    <w:p>
      <w:pPr>
        <w:numPr>
          <w:ilvl w:val="0"/>
          <w:numId w:val="1002"/>
        </w:numPr>
        <w:pStyle w:val="Compact"/>
      </w:pPr>
      <w:r>
        <w:rPr>
          <w:bCs/>
          <w:b/>
        </w:rPr>
        <w:t xml:space="preserve">Local Grid Electricity Mix (China):</w:t>
      </w:r>
      <w:r>
        <w:t xml:space="preserve"> </w:t>
      </w:r>
      <w:r>
        <w:t xml:space="preserve">An illustrative emission factor for China\'s grid electricity is assumed to be</w:t>
      </w:r>
      <w:r>
        <w:t xml:space="preserve"> </w:t>
      </w:r>
      <w:r>
        <w:rPr>
          <w:bCs/>
          <w:b/>
        </w:rPr>
        <w:t xml:space="preserve">0.7 kgCO2e/kWh</w:t>
      </w:r>
      <w:r>
        <w:t xml:space="preserve">.</w:t>
      </w:r>
    </w:p>
    <w:bookmarkEnd w:id="30"/>
    <w:bookmarkStart w:id="31" w:name="transport-logistics-data"/>
    <w:p>
      <w:pPr>
        <w:pStyle w:val="Heading3"/>
      </w:pPr>
      <w:r>
        <w:t xml:space="preserve">Transport Logistics Data</w:t>
      </w:r>
    </w:p>
    <w:p>
      <w:pPr>
        <w:numPr>
          <w:ilvl w:val="0"/>
          <w:numId w:val="1003"/>
        </w:numPr>
        <w:pStyle w:val="Compact"/>
      </w:pPr>
      <w:r>
        <w:rPr>
          <w:bCs/>
          <w:b/>
        </w:rPr>
        <w:t xml:space="preserve">Transport Mode:</w:t>
      </w:r>
      <w:r>
        <w:t xml:space="preserve"> </w:t>
      </w:r>
      <w:r>
        <w:t xml:space="preserve">Illustrative chosen modes are</w:t>
      </w:r>
      <w:r>
        <w:t xml:space="preserve"> </w:t>
      </w:r>
      <w:r>
        <w:rPr>
          <w:bCs/>
          <w:b/>
        </w:rPr>
        <w:t xml:space="preserve">Sea Freight</w:t>
      </w:r>
      <w:r>
        <w:t xml:space="preserve"> </w:t>
      </w:r>
      <w:r>
        <w:t xml:space="preserve">for the main leg from component suppliers to the final production country (China) and</w:t>
      </w:r>
      <w:r>
        <w:t xml:space="preserve"> </w:t>
      </w:r>
      <w:r>
        <w:rPr>
          <w:bCs/>
          <w:b/>
        </w:rPr>
        <w:t xml:space="preserve">Road Freight (HGV)</w:t>
      </w:r>
      <w:r>
        <w:t xml:space="preserve"> </w:t>
      </w:r>
      <w:r>
        <w:t xml:space="preserve">for regional distribution within Europe and from ports to distribution centers.</w:t>
      </w:r>
    </w:p>
    <w:p>
      <w:pPr>
        <w:numPr>
          <w:ilvl w:val="0"/>
          <w:numId w:val="1003"/>
        </w:numPr>
        <w:pStyle w:val="Compact"/>
      </w:pPr>
      <w:r>
        <w:rPr>
          <w:bCs/>
          <w:b/>
        </w:rPr>
        <w:t xml:space="preserve">Transport Distance (demltvwkjg):</w:t>
      </w:r>
    </w:p>
    <w:p>
      <w:pPr>
        <w:numPr>
          <w:ilvl w:val="1"/>
          <w:numId w:val="1004"/>
        </w:numPr>
        <w:pStyle w:val="Compact"/>
      </w:pPr>
      <w:r>
        <w:rPr>
          <w:bCs/>
          <w:b/>
        </w:rPr>
        <w:t xml:space="preserve">Upstream (Sea Freight):</w:t>
      </w:r>
      <w:r>
        <w:t xml:space="preserve"> </w:t>
      </w:r>
      <w:r>
        <w:t xml:space="preserve">An illustrative average distance of</w:t>
      </w:r>
      <w:r>
        <w:t xml:space="preserve"> </w:t>
      </w:r>
      <w:r>
        <w:rPr>
          <w:bCs/>
          <w:b/>
        </w:rPr>
        <w:t xml:space="preserve">15,000 km</w:t>
      </w:r>
      <w:r>
        <w:t xml:space="preserve"> </w:t>
      </w:r>
      <w:r>
        <w:t xml:space="preserve">from key component suppliers to the factory in China.</w:t>
      </w:r>
    </w:p>
    <w:p>
      <w:pPr>
        <w:numPr>
          <w:ilvl w:val="1"/>
          <w:numId w:val="1004"/>
        </w:numPr>
        <w:pStyle w:val="Compact"/>
      </w:pPr>
      <w:r>
        <w:rPr>
          <w:bCs/>
          <w:b/>
        </w:rPr>
        <w:t xml:space="preserve">Downstream (Road Freight):</w:t>
      </w:r>
      <w:r>
        <w:t xml:space="preserve"> </w:t>
      </w:r>
      <w:r>
        <w:t xml:space="preserve">An illustrative average distance of</w:t>
      </w:r>
      <w:r>
        <w:t xml:space="preserve"> </w:t>
      </w:r>
      <w:r>
        <w:rPr>
          <w:bCs/>
          <w:b/>
        </w:rPr>
        <w:t xml:space="preserve">500 km</w:t>
      </w:r>
      <w:r>
        <w:t xml:space="preserve"> </w:t>
      </w:r>
      <w:r>
        <w:t xml:space="preserve">from the factory (or port of entry) to the European distribution centers.</w:t>
      </w:r>
    </w:p>
    <w:p>
      <w:pPr>
        <w:numPr>
          <w:ilvl w:val="0"/>
          <w:numId w:val="1003"/>
        </w:numPr>
        <w:pStyle w:val="Compact"/>
      </w:pPr>
      <w:r>
        <w:rPr>
          <w:bCs/>
          <w:b/>
        </w:rPr>
        <w:t xml:space="preserve">Last-Mile Delivery Channel (Delivery Type):</w:t>
      </w:r>
      <w:r>
        <w:t xml:space="preserve"> </w:t>
      </w:r>
      <w:r>
        <w:t xml:space="preserve">An illustrative</w:t>
      </w:r>
      <w:r>
        <w:t xml:space="preserve"> </w:t>
      </w:r>
      <w:r>
        <w:rPr>
          <w:bCs/>
          <w:b/>
        </w:rPr>
        <w:t xml:space="preserve">Parcel delivery service (Van)</w:t>
      </w:r>
      <w:r>
        <w:t xml:space="preserve"> </w:t>
      </w:r>
      <w:r>
        <w:t xml:space="preserve">is assumed for final delivery to customers in Europe.</w:t>
      </w:r>
    </w:p>
    <w:bookmarkEnd w:id="31"/>
    <w:bookmarkStart w:id="32" w:name="use-phase-data"/>
    <w:p>
      <w:pPr>
        <w:pStyle w:val="Heading3"/>
      </w:pPr>
      <w:r>
        <w:t xml:space="preserve">Use Phase Data</w:t>
      </w:r>
    </w:p>
    <w:p>
      <w:pPr>
        <w:numPr>
          <w:ilvl w:val="0"/>
          <w:numId w:val="1005"/>
        </w:numPr>
        <w:pStyle w:val="Compact"/>
      </w:pPr>
      <w:r>
        <w:rPr>
          <w:bCs/>
          <w:b/>
        </w:rPr>
        <w:t xml:space="preserve">Product Lifespan (dpdkypdkwo):</w:t>
      </w:r>
      <w:r>
        <w:t xml:space="preserve"> </w:t>
      </w:r>
      <w:r>
        <w:t xml:space="preserve">The EcoWidget Pro has an illustrative estimated lifespan of</w:t>
      </w:r>
      <w:r>
        <w:t xml:space="preserve"> </w:t>
      </w:r>
      <w:r>
        <w:rPr>
          <w:bCs/>
          <w:b/>
        </w:rPr>
        <w:t xml:space="preserve">5 years</w:t>
      </w:r>
      <w:r>
        <w:t xml:space="preserve">.</w:t>
      </w:r>
    </w:p>
    <w:p>
      <w:pPr>
        <w:numPr>
          <w:ilvl w:val="0"/>
          <w:numId w:val="1005"/>
        </w:numPr>
        <w:pStyle w:val="Compact"/>
      </w:pPr>
      <w:r>
        <w:rPr>
          <w:bCs/>
          <w:b/>
        </w:rPr>
        <w:t xml:space="preserve">Energy Consumption in Use (dhykmlipge):</w:t>
      </w:r>
      <w:r>
        <w:t xml:space="preserve"> </w:t>
      </w:r>
      <w:r>
        <w:t xml:space="preserve">The product\'s operational energy consumption is an illustrative</w:t>
      </w:r>
      <w:r>
        <w:t xml:space="preserve"> </w:t>
      </w:r>
      <w:r>
        <w:rPr>
          <w:bCs/>
          <w:b/>
        </w:rPr>
        <w:t xml:space="preserve">10 kWh/year</w:t>
      </w:r>
      <w:r>
        <w:t xml:space="preserve">. This assumes typical usage patterns by the end-user. The energy mix for the use phase is assumed to be the average European grid mix (illustrative 0.25 kgCO2e/kWh).</w:t>
      </w:r>
    </w:p>
    <w:bookmarkEnd w:id="32"/>
    <w:bookmarkStart w:id="33" w:name="end-of-life-eol-scenarios"/>
    <w:p>
      <w:pPr>
        <w:pStyle w:val="Heading3"/>
      </w:pPr>
      <w:r>
        <w:t xml:space="preserve">End-of-Life (EoL) Scenarios</w:t>
      </w:r>
    </w:p>
    <w:p>
      <w:pPr>
        <w:numPr>
          <w:ilvl w:val="0"/>
          <w:numId w:val="1006"/>
        </w:numPr>
        <w:pStyle w:val="Compact"/>
      </w:pPr>
      <w:r>
        <w:rPr>
          <w:bCs/>
          <w:b/>
        </w:rPr>
        <w:t xml:space="preserve">Recyclability Percentage (kfmegvqjqm):</w:t>
      </w:r>
      <w:r>
        <w:t xml:space="preserve"> </w:t>
      </w:r>
      <w:r>
        <w:t xml:space="preserve">An illustrative</w:t>
      </w:r>
      <w:r>
        <w:t xml:space="preserve"> </w:t>
      </w:r>
      <w:r>
        <w:rPr>
          <w:bCs/>
          <w:b/>
        </w:rPr>
        <w:t xml:space="preserve">70%</w:t>
      </w:r>
      <w:r>
        <w:t xml:space="preserve"> </w:t>
      </w:r>
      <w:r>
        <w:t xml:space="preserve">of the EcoWidget Pro\'s material by weight is considered recyclable at the end of its life, based on current infrastructure and material composition.</w:t>
      </w:r>
    </w:p>
    <w:p>
      <w:pPr>
        <w:numPr>
          <w:ilvl w:val="0"/>
          <w:numId w:val="1006"/>
        </w:numPr>
        <w:pStyle w:val="Compact"/>
      </w:pPr>
      <w:r>
        <w:rPr>
          <w:bCs/>
          <w:b/>
        </w:rPr>
        <w:t xml:space="preserve">Circular/Take-back Programs (ohozzynyxy):</w:t>
      </w:r>
      <w:r>
        <w:t xml:space="preserve"> </w:t>
      </w:r>
      <w:r>
        <w:t xml:space="preserve">dovshnttjd is assumed to have an</w:t>
      </w:r>
      <w:r>
        <w:t xml:space="preserve"> </w:t>
      </w:r>
      <w:r>
        <w:rPr>
          <w:bCs/>
          <w:b/>
        </w:rPr>
        <w:t xml:space="preserve">established local take-back program for end-of-life products</w:t>
      </w:r>
      <w:r>
        <w:t xml:space="preserve"> </w:t>
      </w:r>
      <w:r>
        <w:t xml:space="preserve">in key European markets, facilitating collection for recycling or proper disposal.</w:t>
      </w:r>
    </w:p>
    <w:p>
      <w:r>
        <w:pict>
          <v:rect style="width:0;height:1.5pt" o:hralign="center" o:hrstd="t" o:hr="t"/>
        </w:pict>
      </w:r>
    </w:p>
    <w:bookmarkEnd w:id="33"/>
    <w:bookmarkEnd w:id="34"/>
    <w:bookmarkStart w:id="47" w:name="calculate-emissions"/>
    <w:p>
      <w:pPr>
        <w:pStyle w:val="Heading2"/>
      </w:pPr>
      <w:r>
        <w:t xml:space="preserve">4. Calculate Emissions</w:t>
      </w:r>
    </w:p>
    <w:p>
      <w:pPr>
        <w:pStyle w:val="FirstParagraph"/>
      </w:pPr>
      <w:r>
        <w:t xml:space="preserve">Emissions are calculated by multiplying activity data (e.g., material quantity, energy consumption, transport distance) by relevant emission factors. The calculation adheres strictly to the GHG Protocol\'s categorization of emissions into Scope 1, Scope 2, and Scope 3.</w:t>
      </w:r>
    </w:p>
    <w:bookmarkStart w:id="35" w:name="ghg-protocol-scope-definitions"/>
    <w:p>
      <w:pPr>
        <w:pStyle w:val="Heading3"/>
      </w:pPr>
      <w:r>
        <w:t xml:space="preserve">GHG Protocol Scope Definitions</w:t>
      </w:r>
    </w:p>
    <w:p>
      <w:pPr>
        <w:numPr>
          <w:ilvl w:val="0"/>
          <w:numId w:val="1007"/>
        </w:numPr>
        <w:pStyle w:val="Compact"/>
      </w:pPr>
      <w:r>
        <w:rPr>
          <w:bCs/>
          <w:b/>
        </w:rPr>
        <w:t xml:space="preserve">Scope 1: Direct GHG Emissions</w:t>
      </w:r>
      <w:r>
        <w:t xml:space="preserve"> </w:t>
      </w:r>
      <w:r>
        <w:t xml:space="preserve">from sources owned or controlled by dovshnttjd (e.g., on-site fuel combustion, company-owned vehicles, fugitive emissions).</w:t>
      </w:r>
    </w:p>
    <w:p>
      <w:pPr>
        <w:numPr>
          <w:ilvl w:val="0"/>
          <w:numId w:val="1007"/>
        </w:numPr>
        <w:pStyle w:val="Compact"/>
      </w:pPr>
      <w:r>
        <w:rPr>
          <w:bCs/>
          <w:b/>
        </w:rPr>
        <w:t xml:space="preserve">Scope 2: Indirect GHG Emissions</w:t>
      </w:r>
      <w:r>
        <w:t xml:space="preserve"> </w:t>
      </w:r>
      <w:r>
        <w:t xml:space="preserve">from the generation of purchased electricity, steam, heating, or cooling consumed by dovshnttjd.</w:t>
      </w:r>
    </w:p>
    <w:p>
      <w:pPr>
        <w:numPr>
          <w:ilvl w:val="0"/>
          <w:numId w:val="1007"/>
        </w:numPr>
        <w:pStyle w:val="Compact"/>
      </w:pPr>
      <w:r>
        <w:rPr>
          <w:bCs/>
          <w:b/>
        </w:rPr>
        <w:t xml:space="preserve">Scope 3: Other Indirect GHG Emissions</w:t>
      </w:r>
      <w:r>
        <w:t xml:space="preserve"> </w:t>
      </w:r>
      <w:r>
        <w:t xml:space="preserve">that occur in the value chain of dovshnttjd, both upstream and downstream. These are emissions from sources not owned or controlled by the company but are a consequence of its activities. Scope 3 often represents the largest source of emissions for companies.</w:t>
      </w:r>
    </w:p>
    <w:bookmarkEnd w:id="35"/>
    <w:bookmarkStart w:id="36" w:name="illustrative-emission-factors-used"/>
    <w:p>
      <w:pPr>
        <w:pStyle w:val="Heading3"/>
      </w:pPr>
      <w:r>
        <w:t xml:space="preserve">Illustrative Emission Factors Used:</w:t>
      </w:r>
    </w:p>
    <w:p>
      <w:pPr>
        <w:numPr>
          <w:ilvl w:val="0"/>
          <w:numId w:val="1008"/>
        </w:numPr>
        <w:pStyle w:val="Compact"/>
      </w:pPr>
      <w:r>
        <w:rPr>
          <w:bCs/>
          <w:b/>
        </w:rPr>
        <w:t xml:space="preserve">Electricity (China Grid Mix):</w:t>
      </w:r>
      <w:r>
        <w:t xml:space="preserve"> </w:t>
      </w:r>
      <w:r>
        <w:t xml:space="preserve">0.7 kgCO2e/kWh</w:t>
      </w:r>
    </w:p>
    <w:p>
      <w:pPr>
        <w:numPr>
          <w:ilvl w:val="0"/>
          <w:numId w:val="1008"/>
        </w:numPr>
        <w:pStyle w:val="Compact"/>
      </w:pPr>
      <w:r>
        <w:rPr>
          <w:bCs/>
          <w:b/>
        </w:rPr>
        <w:t xml:space="preserve">Electricity (European Grid Mix - Use Phase):</w:t>
      </w:r>
      <w:r>
        <w:t xml:space="preserve"> </w:t>
      </w:r>
      <w:r>
        <w:t xml:space="preserve">0.25 kgCO2e/kWh (Illustrative average for European countries)</w:t>
      </w:r>
    </w:p>
    <w:p>
      <w:pPr>
        <w:numPr>
          <w:ilvl w:val="0"/>
          <w:numId w:val="1008"/>
        </w:numPr>
        <w:pStyle w:val="Compact"/>
      </w:pPr>
      <w:r>
        <w:rPr>
          <w:bCs/>
          <w:b/>
        </w:rPr>
        <w:t xml:space="preserve">Sea Freight (Container Ship, average):</w:t>
      </w:r>
      <w:r>
        <w:t xml:space="preserve"> </w:t>
      </w:r>
      <w:r>
        <w:t xml:space="preserve">0.01 kgCO2e/tonne-km</w:t>
      </w:r>
    </w:p>
    <w:p>
      <w:pPr>
        <w:numPr>
          <w:ilvl w:val="0"/>
          <w:numId w:val="1008"/>
        </w:numPr>
        <w:pStyle w:val="Compact"/>
      </w:pPr>
      <w:r>
        <w:rPr>
          <w:bCs/>
          <w:b/>
        </w:rPr>
        <w:t xml:space="preserve">Road Freight (Heavy Goods Vehicle, average):</w:t>
      </w:r>
      <w:r>
        <w:t xml:space="preserve"> </w:t>
      </w:r>
      <w:r>
        <w:t xml:space="preserve">0.1 kgCO2e/tonne-km</w:t>
      </w:r>
    </w:p>
    <w:p>
      <w:pPr>
        <w:numPr>
          <w:ilvl w:val="0"/>
          <w:numId w:val="1008"/>
        </w:numPr>
        <w:pStyle w:val="Compact"/>
      </w:pPr>
      <w:r>
        <w:rPr>
          <w:bCs/>
          <w:b/>
        </w:rPr>
        <w:t xml:space="preserve">Parcel Delivery (Van, last-mile):</w:t>
      </w:r>
      <w:r>
        <w:t xml:space="preserve"> </w:t>
      </w:r>
      <w:r>
        <w:t xml:space="preserve">0.3 kgCO2e/package (Illustrative average for short distances, includes vehicle operation and facility emissions)</w:t>
      </w:r>
    </w:p>
    <w:p>
      <w:pPr>
        <w:numPr>
          <w:ilvl w:val="0"/>
          <w:numId w:val="1008"/>
        </w:numPr>
        <w:pStyle w:val="Compact"/>
      </w:pPr>
      <w:r>
        <w:rPr>
          <w:bCs/>
          <w:b/>
        </w:rPr>
        <w:t xml:space="preserve">Waste to Landfill (Mixed):</w:t>
      </w:r>
      <w:r>
        <w:t xml:space="preserve"> </w:t>
      </w:r>
      <w:r>
        <w:t xml:space="preserve">0.2 kgCO2e/kg (Illustrative average)</w:t>
      </w:r>
    </w:p>
    <w:p>
      <w:pPr>
        <w:numPr>
          <w:ilvl w:val="0"/>
          <w:numId w:val="1008"/>
        </w:numPr>
        <w:pStyle w:val="Compact"/>
      </w:pPr>
      <w:r>
        <w:t xml:space="preserve">Material emission factors as per Table 1 (illustrative).</w:t>
      </w:r>
    </w:p>
    <w:bookmarkEnd w:id="36"/>
    <w:bookmarkStart w:id="42" w:name="Xe32affc8a9d87e4bf34bc464fc6a98d32ab0391"/>
    <w:p>
      <w:pPr>
        <w:pStyle w:val="Heading3"/>
      </w:pPr>
      <w:r>
        <w:t xml:space="preserve">Illustrative Calculation Breakdown by Scope:</w:t>
      </w:r>
    </w:p>
    <w:bookmarkStart w:id="37" w:name="scope-1-emissions-direct"/>
    <w:p>
      <w:pPr>
        <w:pStyle w:val="Heading4"/>
      </w:pPr>
      <w:r>
        <w:t xml:space="preserve">Scope 1 Emissions (Direct)</w:t>
      </w:r>
    </w:p>
    <w:p>
      <w:pPr>
        <w:pStyle w:val="FirstParagraph"/>
      </w:pPr>
      <w:r>
        <w:t xml:space="preserve">Given the \'factory_gate\' boundary and a focus on purchased inputs for the product, direct emissions from dovshnttjd\'s owned or controlled sources related to the EcoWidget Pro\'s manufacturing are assumed to be minimal or zero at the product level. Any on-site fuel combustion for heating or minor process operations would be included here. For this illustrative PCF, we assume</w:t>
      </w:r>
      <w:r>
        <w:t xml:space="preserve"> </w:t>
      </w:r>
      <w:r>
        <w:rPr>
          <w:bCs/>
          <w:b/>
        </w:rPr>
        <w:t xml:space="preserve">0.01 kgCO2e/unit</w:t>
      </w:r>
      <w:r>
        <w:t xml:space="preserve"> </w:t>
      </w:r>
      <w:r>
        <w:t xml:space="preserve">for minor on-site combustion for the product.</w:t>
      </w:r>
    </w:p>
    <w:p>
      <w:pPr>
        <w:pStyle w:val="BodyText"/>
      </w:pPr>
      <w:r>
        <w:rPr>
          <w:bCs/>
          <w:b/>
        </w:rPr>
        <w:t xml:space="preserve">Total Illustrative Scope 1 Emissions: 0.01 kgCO2e/unit</w:t>
      </w:r>
    </w:p>
    <w:bookmarkEnd w:id="37"/>
    <w:bookmarkStart w:id="38" w:name="scope-2-emissions-purchased-energy"/>
    <w:p>
      <w:pPr>
        <w:pStyle w:val="Heading4"/>
      </w:pPr>
      <w:r>
        <w:t xml:space="preserve">Scope 2 Emissions (Purchased Energy)</w:t>
      </w:r>
    </w:p>
    <w:p>
      <w:pPr>
        <w:pStyle w:val="FirstParagraph"/>
      </w:pPr>
      <w:r>
        <w:t xml:space="preserve">Emissions from purchased electricity at the manufacturing facility in China.</w:t>
      </w:r>
    </w:p>
    <w:p>
      <w:pPr>
        <w:numPr>
          <w:ilvl w:val="0"/>
          <w:numId w:val="1009"/>
        </w:numPr>
        <w:pStyle w:val="Compact"/>
      </w:pPr>
      <w:r>
        <w:t xml:space="preserve">Energy Intensity: 5.0 kWh/unit [illustrative]</w:t>
      </w:r>
    </w:p>
    <w:p>
      <w:pPr>
        <w:numPr>
          <w:ilvl w:val="0"/>
          <w:numId w:val="1009"/>
        </w:numPr>
        <w:pStyle w:val="Compact"/>
      </w:pPr>
      <w:r>
        <w:t xml:space="preserve">Renewable Energy Usage: 30% [illustrative]</w:t>
      </w:r>
    </w:p>
    <w:p>
      <w:pPr>
        <w:numPr>
          <w:ilvl w:val="0"/>
          <w:numId w:val="1009"/>
        </w:numPr>
        <w:pStyle w:val="Compact"/>
      </w:pPr>
      <w:r>
        <w:t xml:space="preserve">Non-renewable energy: 5.0 kWh/unit * (1 - 0.30) = 3.5 kWh/unit</w:t>
      </w:r>
    </w:p>
    <w:p>
      <w:pPr>
        <w:numPr>
          <w:ilvl w:val="0"/>
          <w:numId w:val="1009"/>
        </w:numPr>
        <w:pStyle w:val="Compact"/>
      </w:pPr>
      <w:r>
        <w:t xml:space="preserve">China Grid Emission Factor: 0.7 kgCO2e/kWh [illustrative]</w:t>
      </w:r>
    </w:p>
    <w:p>
      <w:pPr>
        <w:numPr>
          <w:ilvl w:val="0"/>
          <w:numId w:val="1009"/>
        </w:numPr>
        <w:pStyle w:val="Compact"/>
      </w:pPr>
      <w:r>
        <w:t xml:space="preserve">Calculation: 3.5 kWh/unit * 0.7 kgCO2e/kWh = 2.45 kgCO2e/unit</w:t>
      </w:r>
    </w:p>
    <w:p>
      <w:pPr>
        <w:pStyle w:val="FirstParagraph"/>
      </w:pPr>
      <w:r>
        <w:rPr>
          <w:bCs/>
          <w:b/>
        </w:rPr>
        <w:t xml:space="preserve">Total Illustrative Scope 2 Emissions: 2.45 kgCO2e/unit</w:t>
      </w:r>
    </w:p>
    <w:bookmarkEnd w:id="38"/>
    <w:bookmarkStart w:id="41" w:name="scope-3-emissions-value-chain"/>
    <w:p>
      <w:pPr>
        <w:pStyle w:val="Heading4"/>
      </w:pPr>
      <w:r>
        <w:t xml:space="preserve">Scope 3 Emissions (Value Chain)</w:t>
      </w:r>
    </w:p>
    <w:p>
      <w:pPr>
        <w:pStyle w:val="FirstParagraph"/>
      </w:pPr>
      <w:r>
        <w:t xml:space="preserve">Scope 3 emissions constitute the majority of the product\'s footprint and are categorized across upstream and downstream activities. The goal is to ensure at least 95% coverage for all required Scope 3 emissions.</w:t>
      </w:r>
    </w:p>
    <w:bookmarkStart w:id="39" w:name="upstream-emissions"/>
    <w:p>
      <w:pPr>
        <w:pStyle w:val="Heading5"/>
      </w:pPr>
      <w:r>
        <w:t xml:space="preserve">Upstream Emissions:</w:t>
      </w:r>
    </w:p>
    <w:p>
      <w:pPr>
        <w:numPr>
          <w:ilvl w:val="0"/>
          <w:numId w:val="1010"/>
        </w:numPr>
        <w:pStyle w:val="Compact"/>
      </w:pPr>
      <w:r>
        <w:rPr>
          <w:bCs/>
          <w:b/>
        </w:rPr>
        <w:t xml:space="preserve">Category 1: Purchased Goods and Services (Materials):</w:t>
      </w:r>
    </w:p>
    <w:p>
      <w:pPr>
        <w:numPr>
          <w:ilvl w:val="1"/>
          <w:numId w:val="1011"/>
        </w:numPr>
        <w:pStyle w:val="Compact"/>
      </w:pPr>
      <w:r>
        <w:t xml:space="preserve">From Table 1: 37.45 kgCO2e/unit (Sum of Total Carbon for all materials).</w:t>
      </w:r>
    </w:p>
    <w:p>
      <w:pPr>
        <w:numPr>
          <w:ilvl w:val="0"/>
          <w:numId w:val="1010"/>
        </w:numPr>
        <w:pStyle w:val="Compact"/>
      </w:pPr>
      <w:r>
        <w:rPr>
          <w:bCs/>
          <w:b/>
        </w:rPr>
        <w:t xml:space="preserve">Category 4: Upstream Transportation and Distribution:</w:t>
      </w:r>
    </w:p>
    <w:p>
      <w:pPr>
        <w:numPr>
          <w:ilvl w:val="1"/>
          <w:numId w:val="1012"/>
        </w:numPr>
        <w:pStyle w:val="Compact"/>
      </w:pPr>
      <w:r>
        <w:t xml:space="preserve">Assume total material weight: 0.3kg (ABS) + 0.15kg (Al) + 0.05kg (Cu) + 1.0kg (PCB, assumed mass) + 1.0kg (Battery, assumed mass) + 0.2kg (Packaging) = 2.7 kg/unit (approx.)</w:t>
      </w:r>
    </w:p>
    <w:p>
      <w:pPr>
        <w:numPr>
          <w:ilvl w:val="1"/>
          <w:numId w:val="1012"/>
        </w:numPr>
        <w:pStyle w:val="Compact"/>
      </w:pPr>
      <w:r>
        <w:t xml:space="preserve">Sea Freight (15,000 km, 2.7 kg/unit): (2.7 kg / 1000) tonnes * 15,000 km * 0.01 kgCO2e/tonne-km = 0.405 kgCO2e/unit</w:t>
      </w:r>
    </w:p>
    <w:p>
      <w:pPr>
        <w:numPr>
          <w:ilvl w:val="0"/>
          <w:numId w:val="1010"/>
        </w:numPr>
        <w:pStyle w:val="Compact"/>
      </w:pPr>
      <w:r>
        <w:rPr>
          <w:bCs/>
          <w:b/>
        </w:rPr>
        <w:t xml:space="preserve">Category 1 &amp; 2 related processes: Manufacturing Processes (not covered by energy or materials):</w:t>
      </w:r>
    </w:p>
    <w:p>
      <w:pPr>
        <w:numPr>
          <w:ilvl w:val="1"/>
          <w:numId w:val="1013"/>
        </w:numPr>
        <w:pStyle w:val="Compact"/>
      </w:pPr>
      <w:r>
        <w:t xml:space="preserve">Emissions from specific manufacturing processes (e.g., minor waste, ancillary processes not in Scope 1/2). Illustrative: 0.5 kgCO2e/unit.</w:t>
      </w:r>
    </w:p>
    <w:p>
      <w:pPr>
        <w:pStyle w:val="FirstParagraph"/>
      </w:pPr>
      <w:r>
        <w:rPr>
          <w:bCs/>
          <w:b/>
        </w:rPr>
        <w:t xml:space="preserve">Total Illustrative Upstream Scope 3 Emissions:</w:t>
      </w:r>
      <w:r>
        <w:t xml:space="preserve"> </w:t>
      </w:r>
      <w:r>
        <w:t xml:space="preserve">37.45 (materials) + 0.405 (transport) + 0.5 (manufacturing processes) =</w:t>
      </w:r>
      <w:r>
        <w:t xml:space="preserve"> </w:t>
      </w:r>
      <w:r>
        <w:rPr>
          <w:bCs/>
          <w:b/>
        </w:rPr>
        <w:t xml:space="preserve">38.355 kgCO2e/unit</w:t>
      </w:r>
    </w:p>
    <w:bookmarkEnd w:id="39"/>
    <w:bookmarkStart w:id="40" w:name="downstream-emissions"/>
    <w:p>
      <w:pPr>
        <w:pStyle w:val="Heading5"/>
      </w:pPr>
      <w:r>
        <w:t xml:space="preserve">Downstream Emissions:</w:t>
      </w:r>
    </w:p>
    <w:p>
      <w:pPr>
        <w:numPr>
          <w:ilvl w:val="0"/>
          <w:numId w:val="1014"/>
        </w:numPr>
        <w:pStyle w:val="Compact"/>
      </w:pPr>
      <w:r>
        <w:rPr>
          <w:bCs/>
          <w:b/>
        </w:rPr>
        <w:t xml:space="preserve">Category 9: Downstream Transportation and Distribution (Regional):</w:t>
      </w:r>
    </w:p>
    <w:p>
      <w:pPr>
        <w:numPr>
          <w:ilvl w:val="1"/>
          <w:numId w:val="1015"/>
        </w:numPr>
        <w:pStyle w:val="Compact"/>
      </w:pPr>
      <w:r>
        <w:t xml:space="preserve">Road Freight (500 km, 1.0 unit weight assumed at ~3 kg for the product + packaging): (3 kg / 1000) tonnes * 500 km * 0.1 kgCO2e/tonne-km = 0.15 kgCO2e/unit</w:t>
      </w:r>
    </w:p>
    <w:p>
      <w:pPr>
        <w:numPr>
          <w:ilvl w:val="0"/>
          <w:numId w:val="1014"/>
        </w:numPr>
        <w:pStyle w:val="Compact"/>
      </w:pPr>
      <w:r>
        <w:rPr>
          <w:bCs/>
          <w:b/>
        </w:rPr>
        <w:t xml:space="preserve">Category 9: Downstream Transportation and Distribution (Last-Mile Delivery):</w:t>
      </w:r>
    </w:p>
    <w:p>
      <w:pPr>
        <w:numPr>
          <w:ilvl w:val="1"/>
          <w:numId w:val="1016"/>
        </w:numPr>
        <w:pStyle w:val="Compact"/>
      </w:pPr>
      <w:r>
        <w:t xml:space="preserve">Parcel delivery service (van): 0.3 kgCO2e/package (per unit) [illustrative]</w:t>
      </w:r>
    </w:p>
    <w:p>
      <w:pPr>
        <w:numPr>
          <w:ilvl w:val="0"/>
          <w:numId w:val="1014"/>
        </w:numPr>
        <w:pStyle w:val="Compact"/>
      </w:pPr>
      <w:r>
        <w:rPr>
          <w:bCs/>
          <w:b/>
        </w:rPr>
        <w:t xml:space="preserve">Category 11: Use of Sold Products:</w:t>
      </w:r>
    </w:p>
    <w:p>
      <w:pPr>
        <w:numPr>
          <w:ilvl w:val="1"/>
          <w:numId w:val="1017"/>
        </w:numPr>
        <w:pStyle w:val="Compact"/>
      </w:pPr>
      <w:r>
        <w:t xml:space="preserve">Product Lifespan: 5 years [illustrative]</w:t>
      </w:r>
    </w:p>
    <w:p>
      <w:pPr>
        <w:numPr>
          <w:ilvl w:val="1"/>
          <w:numId w:val="1017"/>
        </w:numPr>
        <w:pStyle w:val="Compact"/>
      </w:pPr>
      <w:r>
        <w:t xml:space="preserve">Energy Consumption in Use: 10 kWh/year [illustrative]</w:t>
      </w:r>
    </w:p>
    <w:p>
      <w:pPr>
        <w:numPr>
          <w:ilvl w:val="1"/>
          <w:numId w:val="1017"/>
        </w:numPr>
        <w:pStyle w:val="Compact"/>
      </w:pPr>
      <w:r>
        <w:t xml:space="preserve">European Grid Emission Factor (Use Phase): 0.25 kgCO2e/kWh [illustrative]</w:t>
      </w:r>
    </w:p>
    <w:p>
      <w:pPr>
        <w:numPr>
          <w:ilvl w:val="1"/>
          <w:numId w:val="1017"/>
        </w:numPr>
        <w:pStyle w:val="Compact"/>
      </w:pPr>
      <w:r>
        <w:t xml:space="preserve">Calculation: 5 years * 10 kWh/year * 0.25 kgCO2e/kWh = 12.5 kgCO2e/unit</w:t>
      </w:r>
    </w:p>
    <w:p>
      <w:pPr>
        <w:numPr>
          <w:ilvl w:val="0"/>
          <w:numId w:val="1014"/>
        </w:numPr>
        <w:pStyle w:val="Compact"/>
      </w:pPr>
      <w:r>
        <w:rPr>
          <w:bCs/>
          <w:b/>
        </w:rPr>
        <w:t xml:space="preserve">Category 12: End-of-Life Treatment of Sold Products:</w:t>
      </w:r>
    </w:p>
    <w:p>
      <w:pPr>
        <w:numPr>
          <w:ilvl w:val="1"/>
          <w:numId w:val="1018"/>
        </w:numPr>
        <w:pStyle w:val="Compact"/>
      </w:pPr>
      <w:r>
        <w:t xml:space="preserve">Total product weight (incl. packaging): ~3 kg/unit [illustrative]</w:t>
      </w:r>
    </w:p>
    <w:p>
      <w:pPr>
        <w:numPr>
          <w:ilvl w:val="1"/>
          <w:numId w:val="1018"/>
        </w:numPr>
        <w:pStyle w:val="Compact"/>
      </w:pPr>
      <w:r>
        <w:t xml:space="preserve">Recyclability: 70% [illustrative] -&gt; 3 kg * 0.70 = 2.1 kg recycled (assumed 0 kgCO2e impact for recycling credit or negligible emission)</w:t>
      </w:r>
    </w:p>
    <w:p>
      <w:pPr>
        <w:numPr>
          <w:ilvl w:val="1"/>
          <w:numId w:val="1018"/>
        </w:numPr>
        <w:pStyle w:val="Compact"/>
      </w:pPr>
      <w:r>
        <w:t xml:space="preserve">Disposed to Landfill: 3 kg * (1 - 0.70) = 0.9 kg disposed</w:t>
      </w:r>
    </w:p>
    <w:p>
      <w:pPr>
        <w:numPr>
          <w:ilvl w:val="1"/>
          <w:numId w:val="1018"/>
        </w:numPr>
        <w:pStyle w:val="Compact"/>
      </w:pPr>
      <w:r>
        <w:t xml:space="preserve">Landfill Emission Factor: 0.2 kgCO2e/kg [illustrative]</w:t>
      </w:r>
    </w:p>
    <w:p>
      <w:pPr>
        <w:numPr>
          <w:ilvl w:val="1"/>
          <w:numId w:val="1018"/>
        </w:numPr>
        <w:pStyle w:val="Compact"/>
      </w:pPr>
      <w:r>
        <w:t xml:space="preserve">Calculation: 0.9 kg * 0.2 kgCO2e/kg = 0.18 kgCO2e/unit</w:t>
      </w:r>
    </w:p>
    <w:p>
      <w:pPr>
        <w:numPr>
          <w:ilvl w:val="0"/>
          <w:numId w:val="1014"/>
        </w:numPr>
        <w:pStyle w:val="Compact"/>
      </w:pPr>
      <w:r>
        <w:rPr>
          <w:bCs/>
          <w:b/>
        </w:rPr>
        <w:t xml:space="preserve">Circular/Take-back Programs (ohozzynyxy):</w:t>
      </w:r>
      <w:r>
        <w:t xml:space="preserve"> </w:t>
      </w:r>
      <w:r>
        <w:t xml:space="preserve">The presence of established take-back programs would reduce the landfill portion and increase recycling rates, potentially further reducing EoL emissions. This is already reflected in the 70% recyclability.</w:t>
      </w:r>
    </w:p>
    <w:p>
      <w:pPr>
        <w:pStyle w:val="FirstParagraph"/>
      </w:pPr>
      <w:r>
        <w:rPr>
          <w:bCs/>
          <w:b/>
        </w:rPr>
        <w:t xml:space="preserve">Total Illustrative Downstream Scope 3 Emissions:</w:t>
      </w:r>
      <w:r>
        <w:t xml:space="preserve"> </w:t>
      </w:r>
      <w:r>
        <w:t xml:space="preserve">0.15 (regional transport) + 0.3 (last-mile) + 12.5 (use phase) + 0.18 (EoL) =</w:t>
      </w:r>
      <w:r>
        <w:t xml:space="preserve"> </w:t>
      </w:r>
      <w:r>
        <w:rPr>
          <w:bCs/>
          <w:b/>
        </w:rPr>
        <w:t xml:space="preserve">13.13 kgCO2e/unit</w:t>
      </w:r>
    </w:p>
    <w:p>
      <w:pPr>
        <w:pStyle w:val="BodyText"/>
      </w:pPr>
      <w:r>
        <w:rPr>
          <w:bCs/>
          <w:b/>
        </w:rPr>
        <w:t xml:space="preserve">Total Illustrative Scope 3 Emissions:</w:t>
      </w:r>
      <w:r>
        <w:t xml:space="preserve"> </w:t>
      </w:r>
      <w:r>
        <w:t xml:space="preserve">38.355 (upstream) + 13.13 (downstream) =</w:t>
      </w:r>
      <w:r>
        <w:t xml:space="preserve"> </w:t>
      </w:r>
      <w:r>
        <w:rPr>
          <w:bCs/>
          <w:b/>
        </w:rPr>
        <w:t xml:space="preserve">51.485 kgCO2e/unit</w:t>
      </w:r>
    </w:p>
    <w:bookmarkEnd w:id="40"/>
    <w:bookmarkEnd w:id="41"/>
    <w:bookmarkEnd w:id="42"/>
    <w:bookmarkStart w:id="44" w:name="Xacf18fa8957e1f046de293c55a55509dc5caf5b"/>
    <w:p>
      <w:pPr>
        <w:pStyle w:val="Heading3"/>
      </w:pPr>
      <w:r>
        <w:t xml:space="preserve">Summary of Illustrative Emissions by Scope:</w:t>
      </w:r>
    </w:p>
    <w:bookmarkStart w:id="43" w:name="X75d3a8b9b51b67f8da739d0848365db3eeb6b87"/>
    <w:p>
      <w:pPr>
        <w:pStyle w:val="Heading4"/>
      </w:pPr>
      <w:r>
        <w:t xml:space="preserve">Table 2: Illustrative Product Carbon Footprint by GHG Scope for EcoWidget Pro</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0.01</w:t>
            </w:r>
          </w:p>
        </w:tc>
        <w:tc>
          <w:tcPr/>
          <w:p>
            <w:pPr>
              <w:pStyle w:val="Compact"/>
              <w:jc w:val="left"/>
            </w:pPr>
            <w:r>
              <w:t xml:space="preserve">0.02%</w:t>
            </w:r>
          </w:p>
        </w:tc>
      </w:tr>
      <w:tr>
        <w:tc>
          <w:tcPr/>
          <w:p>
            <w:pPr>
              <w:pStyle w:val="Compact"/>
              <w:jc w:val="left"/>
            </w:pPr>
            <w:r>
              <w:t xml:space="preserve">Scope 2 (Purchased Energy)</w:t>
            </w:r>
          </w:p>
        </w:tc>
        <w:tc>
          <w:tcPr/>
          <w:p>
            <w:pPr>
              <w:pStyle w:val="Compact"/>
              <w:jc w:val="left"/>
            </w:pPr>
            <w:r>
              <w:t xml:space="preserve">2.45</w:t>
            </w:r>
          </w:p>
        </w:tc>
        <w:tc>
          <w:tcPr/>
          <w:p>
            <w:pPr>
              <w:pStyle w:val="Compact"/>
              <w:jc w:val="left"/>
            </w:pPr>
            <w:r>
              <w:t xml:space="preserve">4.55%</w:t>
            </w:r>
          </w:p>
        </w:tc>
      </w:tr>
      <w:tr>
        <w:tc>
          <w:tcPr/>
          <w:p>
            <w:pPr>
              <w:pStyle w:val="Compact"/>
              <w:jc w:val="left"/>
            </w:pPr>
            <w:r>
              <w:t xml:space="preserve">Scope 3 (Value Chain)</w:t>
            </w:r>
          </w:p>
        </w:tc>
        <w:tc>
          <w:tcPr/>
          <w:p>
            <w:pPr>
              <w:pStyle w:val="Compact"/>
              <w:jc w:val="left"/>
            </w:pPr>
            <w:r>
              <w:t xml:space="preserve">51.485</w:t>
            </w:r>
          </w:p>
        </w:tc>
        <w:tc>
          <w:tcPr/>
          <w:p>
            <w:pPr>
              <w:pStyle w:val="Compact"/>
              <w:jc w:val="left"/>
            </w:pPr>
            <w:r>
              <w:t xml:space="preserve">95.43%</w:t>
            </w:r>
          </w:p>
        </w:tc>
      </w:tr>
      <w:tr>
        <w:tc>
          <w:tcPr/>
          <w:p>
            <w:pPr>
              <w:pStyle w:val="Compact"/>
              <w:jc w:val="left"/>
            </w:pPr>
            <w:r>
              <w:rPr>
                <w:bCs/>
                <w:b/>
              </w:rPr>
              <w:t xml:space="preserve">Total PCF</w:t>
            </w:r>
          </w:p>
        </w:tc>
        <w:tc>
          <w:tcPr/>
          <w:p>
            <w:pPr>
              <w:pStyle w:val="Compact"/>
              <w:jc w:val="left"/>
            </w:pPr>
            <w:r>
              <w:rPr>
                <w:bCs/>
                <w:b/>
              </w:rPr>
              <w:t xml:space="preserve">53.945</w:t>
            </w:r>
          </w:p>
        </w:tc>
        <w:tc>
          <w:tcPr/>
          <w:p>
            <w:pPr>
              <w:pStyle w:val="Compact"/>
              <w:jc w:val="left"/>
            </w:pPr>
            <w:r>
              <w:rPr>
                <w:bCs/>
                <w:b/>
              </w:rPr>
              <w:t xml:space="preserve">100.00%</w:t>
            </w:r>
          </w:p>
        </w:tc>
      </w:tr>
    </w:tbl>
    <w:p>
      <w:pPr>
        <w:pStyle w:val="BodyText"/>
      </w:pPr>
      <w:r>
        <w:t xml:space="preserve">Based on these illustrative calculations, Scope 3 emissions account for approximately 95.43% of the total product carbon footprint, highlighting the critical importance of value chain engagement for decarbonization. This is a common trend in product PCF analyses.</w:t>
      </w:r>
    </w:p>
    <w:bookmarkEnd w:id="43"/>
    <w:bookmarkEnd w:id="44"/>
    <w:bookmarkStart w:id="45" w:name="X70f835b837f1aa1c51e58d34f7e1362f80d3b36"/>
    <w:p>
      <w:pPr>
        <w:pStyle w:val="Heading3"/>
      </w:pPr>
      <w:r>
        <w:t xml:space="preserve">2026 Land Sector and Removals (LSR) Standard Update Application</w:t>
      </w:r>
    </w:p>
    <w:p>
      <w:pPr>
        <w:pStyle w:val="FirstParagraph"/>
      </w:pPr>
      <w:r>
        <w:t xml:space="preserve">The GHG Protocol\'s Land Sector and Removals (LSR) Standard, effective January 1, 2027, is applied by considering potential land use change emissions or carbon removals within the supply chain. While direct land-use data specific to the raw materials of EcoWidget Pro (e.g., for plastics or metals) is not available as a direct input string, the framework of the LSR Standard would necessitate rigorous assessment if land-intensive materials like bio-based plastics or agricultural feedstocks were used. Its application ensures that land management and land use change, as well as CO2 removals (e.g., from direct air capture or storage in land/geologic carbon pools), are appropriately quantified and reported, providing a more complete picture of the product\'s biogenic and technological carbon impacts.</w:t>
      </w:r>
    </w:p>
    <w:bookmarkEnd w:id="45"/>
    <w:bookmarkStart w:id="46" w:name="scope-3-compliance-95-coverage"/>
    <w:p>
      <w:pPr>
        <w:pStyle w:val="Heading3"/>
      </w:pPr>
      <w:r>
        <w:t xml:space="preserve">Scope 3 Compliance: 95% Coverage</w:t>
      </w:r>
    </w:p>
    <w:p>
      <w:pPr>
        <w:pStyle w:val="FirstParagraph"/>
      </w:pPr>
      <w:r>
        <w:t xml:space="preserve">In line with the 2026 requirements, this assessment aims for at least 95% coverage for all *required* Scope 3 emissions. The detailed breakdown of materials, transport, use phase, and end-of-life impacts within Scope 3 ensures that all material categories are considered. Any exclusions, if present in a full, audited report, would be quantified, disclosed, and justified, ensuring they do not exceed the 5% threshold of required Scope 3 emissions. The future reporting will also disaggregate Scope 3 emissions by data type (e.g., primary activity data vs. spend-based) to enhance transparency.</w:t>
      </w:r>
    </w:p>
    <w:p>
      <w:r>
        <w:pict>
          <v:rect style="width:0;height:1.5pt" o:hralign="center" o:hrstd="t" o:hr="t"/>
        </w:pict>
      </w:r>
    </w:p>
    <w:bookmarkEnd w:id="46"/>
    <w:bookmarkEnd w:id="47"/>
    <w:bookmarkStart w:id="51" w:name="review-report"/>
    <w:p>
      <w:pPr>
        <w:pStyle w:val="Heading2"/>
      </w:pPr>
      <w:r>
        <w:t xml:space="preserve">5. Review &amp; Report</w:t>
      </w:r>
    </w:p>
    <w:bookmarkStart w:id="48" w:name="hotspots-identification"/>
    <w:p>
      <w:pPr>
        <w:pStyle w:val="Heading3"/>
      </w:pPr>
      <w:r>
        <w:t xml:space="preserve">Hotspots Identification</w:t>
      </w:r>
    </w:p>
    <w:p>
      <w:pPr>
        <w:pStyle w:val="FirstParagraph"/>
      </w:pPr>
      <w:r>
        <w:t xml:space="preserve">Based on the illustrative analysis, the primary emission hotspots for the EcoWidget Pro are:</w:t>
      </w:r>
    </w:p>
    <w:p>
      <w:pPr>
        <w:numPr>
          <w:ilvl w:val="0"/>
          <w:numId w:val="1019"/>
        </w:numPr>
        <w:pStyle w:val="Compact"/>
      </w:pPr>
      <w:r>
        <w:rPr>
          <w:bCs/>
          <w:b/>
        </w:rPr>
        <w:t xml:space="preserve">Purchased Goods and Services (Materials - Scope 3 Upstream):</w:t>
      </w:r>
      <w:r>
        <w:t xml:space="preserve"> </w:t>
      </w:r>
      <w:r>
        <w:t xml:space="preserve">This category, particularly the Printed Circuit Board and Lithium-ion Battery, dominates the footprint, indicating significant embodied carbon in components.</w:t>
      </w:r>
    </w:p>
    <w:p>
      <w:pPr>
        <w:numPr>
          <w:ilvl w:val="0"/>
          <w:numId w:val="1019"/>
        </w:numPr>
        <w:pStyle w:val="Compact"/>
      </w:pPr>
      <w:r>
        <w:rPr>
          <w:bCs/>
          <w:b/>
        </w:rPr>
        <w:t xml:space="preserve">Use of Sold Products (Scope 3 Downstream):</w:t>
      </w:r>
      <w:r>
        <w:t xml:space="preserve"> </w:t>
      </w:r>
      <w:r>
        <w:t xml:space="preserve">The energy consumption during the 5-year illustrative lifespan of the product contributes substantially to the overall PCF.</w:t>
      </w:r>
    </w:p>
    <w:p>
      <w:pPr>
        <w:numPr>
          <w:ilvl w:val="0"/>
          <w:numId w:val="1019"/>
        </w:numPr>
        <w:pStyle w:val="Compact"/>
      </w:pPr>
      <w:r>
        <w:rPr>
          <w:bCs/>
          <w:b/>
        </w:rPr>
        <w:t xml:space="preserve">Production Energy (Scope 2):</w:t>
      </w:r>
      <w:r>
        <w:t xml:space="preserve"> </w:t>
      </w:r>
      <w:r>
        <w:t xml:space="preserve">While smaller than Scope 3, the energy consumed during manufacturing is a direct lever for dovshnttjd.</w:t>
      </w:r>
    </w:p>
    <w:bookmarkEnd w:id="48"/>
    <w:bookmarkStart w:id="49" w:name="data-reliability-and-limitations"/>
    <w:p>
      <w:pPr>
        <w:pStyle w:val="Heading3"/>
      </w:pPr>
      <w:r>
        <w:t xml:space="preserve">Data Reliability and Limitations</w:t>
      </w:r>
    </w:p>
    <w:p>
      <w:pPr>
        <w:pStyle w:val="FirstParagraph"/>
      </w:pPr>
      <w:r>
        <w:t xml:space="preserve">This report provides a high-level PCF analysis based on the provided parameters and illustrative data where specific numerical inputs were given as string literals. The reliability of this assessment is directly proportional to the accuracy and granularity of the primary data provided by dovshnttjd. The illustrative emission factors used are drawn from recognized databases (like Ecoinvent/DEFRA), representing industry averages. For a precise and auditable PCF, primary data for all material inputs, exact transport distances and modes, specific energy consumption profiles, and region-specific emission factors would be required. The 2026 updates to GHG Protocol\'s Scope 3 Standard emphasize greater data quality and transparency.</w:t>
      </w:r>
    </w:p>
    <w:bookmarkEnd w:id="49"/>
    <w:bookmarkStart w:id="50" w:name="recommendations-for-reduction"/>
    <w:p>
      <w:pPr>
        <w:pStyle w:val="Heading3"/>
      </w:pPr>
      <w:r>
        <w:t xml:space="preserve">Recommendations for Reduction</w:t>
      </w:r>
    </w:p>
    <w:p>
      <w:pPr>
        <w:pStyle w:val="FirstParagraph"/>
      </w:pPr>
      <w:r>
        <w:t xml:space="preserve">To reduce the carbon footprint of qvptknqmjf (EcoWidget Pro), dovshnttjd should focus on the following areas:</w:t>
      </w:r>
    </w:p>
    <w:p>
      <w:pPr>
        <w:numPr>
          <w:ilvl w:val="0"/>
          <w:numId w:val="1020"/>
        </w:numPr>
        <w:pStyle w:val="Compact"/>
      </w:pPr>
      <w:r>
        <w:rPr>
          <w:bCs/>
          <w:b/>
        </w:rPr>
        <w:t xml:space="preserve">Supply Chain Engagement (Scope 3):</w:t>
      </w:r>
      <w:r>
        <w:t xml:space="preserve"> </w:t>
      </w:r>
      <w:r>
        <w:t xml:space="preserve">Work closely with suppliers of high-impact components (e.g., PCB, Battery) to source lower-carbon alternatives, encourage renewable energy adoption in their operations, and explore design changes for material efficiency.</w:t>
      </w:r>
    </w:p>
    <w:p>
      <w:pPr>
        <w:numPr>
          <w:ilvl w:val="0"/>
          <w:numId w:val="1020"/>
        </w:numPr>
        <w:pStyle w:val="Compact"/>
      </w:pPr>
      <w:r>
        <w:rPr>
          <w:bCs/>
          <w:b/>
        </w:rPr>
        <w:t xml:space="preserve">Product Design for Longevity &amp; Efficiency (Scope 3 Use Phase):</w:t>
      </w:r>
      <w:r>
        <w:t xml:space="preserve"> </w:t>
      </w:r>
      <w:r>
        <w:t xml:space="preserve">Optimize the product\'s energy efficiency during its use phase and explore modular designs for easier repair and upgrades to extend lifespan. Educate consumers on efficient use.</w:t>
      </w:r>
    </w:p>
    <w:p>
      <w:pPr>
        <w:numPr>
          <w:ilvl w:val="0"/>
          <w:numId w:val="1020"/>
        </w:numPr>
        <w:pStyle w:val="Compact"/>
      </w:pPr>
      <w:r>
        <w:rPr>
          <w:bCs/>
          <w:b/>
        </w:rPr>
        <w:t xml:space="preserve">Manufacturing Energy Decarbonization (Scope 2):</w:t>
      </w:r>
      <w:r>
        <w:t xml:space="preserve"> </w:t>
      </w:r>
      <w:r>
        <w:t xml:space="preserve">Increase the procurement of renewable electricity for the manufacturing facilities beyond the current illustrative 30%, or invest in on-site renewable energy generation.</w:t>
      </w:r>
    </w:p>
    <w:p>
      <w:pPr>
        <w:numPr>
          <w:ilvl w:val="0"/>
          <w:numId w:val="1020"/>
        </w:numPr>
        <w:pStyle w:val="Compact"/>
      </w:pPr>
      <w:r>
        <w:rPr>
          <w:bCs/>
          <w:b/>
        </w:rPr>
        <w:t xml:space="preserve">Circular Economy Strategies (Scope 3 EoL):</w:t>
      </w:r>
      <w:r>
        <w:t xml:space="preserve"> </w:t>
      </w:r>
      <w:r>
        <w:t xml:space="preserve">Expand and promote the existing take-back programs to maximize the collection and recycling rate, potentially exploring advanced recycling technologies or material closed-loop systems.</w:t>
      </w:r>
    </w:p>
    <w:p>
      <w:r>
        <w:pict>
          <v:rect style="width:0;height:1.5pt" o:hralign="center" o:hrstd="t" o:hr="t"/>
        </w:pict>
      </w:r>
    </w:p>
    <w:p>
      <w:pPr>
        <w:pStyle w:val="FirstParagraph"/>
      </w:pPr>
      <w:r>
        <w:t xml:space="preserve">Confidential - Internal Use Only</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qvptknqmjf (EcoWidget Pro) - dovshnttjd</dc:title>
  <dc:creator/>
  <dc:description>High-detail Product Carbon Footprint (PCF) analysis report for qvptknqmjf (EcoWidget Pro) by fpsnuikdmw, Senior Sustainability Consultant at dovshnttjd, adhering to GHG Protocol standards and 2026 LSR updates.</dc:description>
  <dc:language>en</dc:language>
  <cp:keywords/>
  <dcterms:created xsi:type="dcterms:W3CDTF">2026-05-30T22:14:04Z</dcterms:created>
  <dcterms:modified xsi:type="dcterms:W3CDTF">2026-05-30T22:14:04Z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