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quwrljhwtg</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quwrljhwtg</w:t>
      </w:r>
    </w:p>
    <w:p>
      <w:pPr>
        <w:pStyle w:val="BodyText"/>
      </w:pPr>
      <w:r>
        <w:rPr>
          <w:bCs/>
          <w:b/>
        </w:rPr>
        <w:t xml:space="preserve">Company:</w:t>
      </w:r>
      <w:r>
        <w:t xml:space="preserve"> </w:t>
      </w:r>
      <w:r>
        <w:t xml:space="preserve">moviznzovw</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lydqykyqnt</w:t>
      </w:r>
    </w:p>
    <w:p>
      <w:pPr>
        <w:pStyle w:val="BodyText"/>
      </w:pPr>
      <w:r>
        <w:t xml:space="preserve">Generated Date: May 22, 2026</w:t>
      </w:r>
    </w:p>
    <w:p>
      <w:pPr>
        <w:pStyle w:val="BodyText"/>
      </w:pPr>
      <w:r>
        <w:t xml:space="preserve">Disclaimer: This report is generated based on available data and industry standards, including illustrative data where specific parameters were placeholders. The calculations and conclusions are intended to provide a high-level assessment and methodology demonstration.</w:t>
      </w:r>
    </w:p>
    <w:bookmarkEnd w:id="20"/>
    <w:p>
      <w:pPr>
        <w:pStyle w:val="BodyText"/>
      </w:pPr>
      <w:r>
        <w:br/>
      </w:r>
    </w:p>
    <w:bookmarkStart w:id="43" w:name="Xdab06e0209d62faf5d8f8dc0acb95113b6e806c"/>
    <w:p>
      <w:pPr>
        <w:pStyle w:val="Heading1"/>
      </w:pPr>
      <w:r>
        <w:t xml:space="preserve">Product Carbon Footprint Analysis Report: quwrljhwtg</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"quwrljhwtg," manufactured by "moviznzovw." The analysis was performed by Senior Sustainability Consultant lydqykyqnt, adhering to the Greenhouse Gas (GHG) Protocol\'s Product Life Cycle Accounting and Reporting Standard. The primary goal is to quantify the total greenhouse gas emissions (expressed as CO2e) associated with the product across its entire lifecycle, from material extraction to end-of-life. This assessment aims to identify emission hotspots, inform mitigation strategies, and demonstrate compliance with evolving sustainability reporting requirements, including the 2026 updates for the Land Sector and Removals (LSR) Standard and stringent Scope 3 coverage.</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initial step in conducting a Product Carbon Footprint (PCF) involves clearly defining the parameters of the study. This ensures consistency and comparability of results.</w:t>
      </w:r>
    </w:p>
    <w:p>
      <w:pPr>
        <w:numPr>
          <w:ilvl w:val="0"/>
          <w:numId w:val="1001"/>
        </w:numPr>
        <w:pStyle w:val="Compact"/>
      </w:pPr>
      <w:r>
        <w:rPr>
          <w:bCs/>
          <w:b/>
        </w:rPr>
        <w:t xml:space="preserve">Functional Unit:</w:t>
      </w:r>
      <w:r>
        <w:t xml:space="preserve"> </w:t>
      </w:r>
      <w:r>
        <w:t xml:space="preserve">The functional unit for this PCF analysis is defined as</w:t>
      </w:r>
      <w:r>
        <w:t xml:space="preserve"> </w:t>
      </w:r>
      <w:r>
        <w:rPr>
          <w:bCs/>
          <w:b/>
        </w:rPr>
        <w:t xml:space="preserve">1.0 unit of quwrljhwtg</w:t>
      </w:r>
      <w:r>
        <w:t xml:space="preserve">. This serves as the reference basis to which all inputs and outputs are related.</w:t>
      </w:r>
    </w:p>
    <w:p>
      <w:pPr>
        <w:numPr>
          <w:ilvl w:val="0"/>
          <w:numId w:val="1001"/>
        </w:numPr>
        <w:pStyle w:val="Compact"/>
      </w:pPr>
      <w:r>
        <w:rPr>
          <w:bCs/>
          <w:b/>
        </w:rPr>
        <w:t xml:space="preserve">System Boundary:</w:t>
      </w:r>
      <w:r>
        <w:t xml:space="preserve"> </w:t>
      </w:r>
      <w:r>
        <w:t xml:space="preserve">The defined system boundary for this assessment is</w:t>
      </w:r>
      <w:r>
        <w:t xml:space="preserve"> </w:t>
      </w:r>
      <w:r>
        <w:rPr>
          <w:bCs/>
          <w:b/>
        </w:rPr>
        <w:t xml:space="preserve">"factory_gate."</w:t>
      </w:r>
      <w:r>
        <w:t xml:space="preserve"> </w:t>
      </w:r>
      <w:r>
        <w:t xml:space="preserve">However, to provide a comprehensive analysis as requested, emissions across the entire product lifecycle—including upstream (material acquisition, processing), core production, downstream (transportation, use phase), and end-of-life—are considered and calculated. This approach acknowledges the factory gate as the point of product readiness for distribution but expands the assessment to capture full value chain impacts, aligning with the intent of a holistic PCF.</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Allocation:</w:t>
      </w:r>
      <w:r>
        <w:t xml:space="preserve"> </w:t>
      </w:r>
      <w:r>
        <w:t xml:space="preserve">Emissions from shared processes (e.g., manufacturing facilities producing multiple products) are allocated based on physical parameters such as mass or economic value where relevant. For end-of-life scenarios, the "cut-off" approach is generally applied, where secondary materials (recycled content) entering the product system carry no upstream burdens, and emissions/credits for materials leaving the system for recycling are accounted for at the point of exit.</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 Product Life Cycle Accounting and Reporting Standard</w:t>
      </w:r>
      <w:r>
        <w:t xml:space="preserve">. The GHG Protocol provides a globally consistent approach to measure and manage product emissions.</w:t>
      </w:r>
    </w:p>
    <w:p>
      <w:pPr>
        <w:numPr>
          <w:ilvl w:val="1"/>
          <w:numId w:val="1003"/>
        </w:numPr>
        <w:pStyle w:val="Compact"/>
      </w:pPr>
      <w:r>
        <w:rPr>
          <w:bCs/>
          <w:b/>
        </w:rPr>
        <w:t xml:space="preserve">GHG Protocol Scopes:</w:t>
      </w:r>
      <w:r>
        <w:t xml:space="preserve"> </w:t>
      </w:r>
      <w:r>
        <w:t xml:space="preserve">Emissions are categorized into Scope 1 (direct emissions from owned or controlled sources), Scope 2 (indirect emissions from purchased energy), and Scope 3 (all other indirect emissions in the value chain).</w:t>
      </w:r>
    </w:p>
    <w:p>
      <w:pPr>
        <w:numPr>
          <w:ilvl w:val="1"/>
          <w:numId w:val="1003"/>
        </w:numPr>
        <w:pStyle w:val="Compact"/>
      </w:pPr>
      <w:r>
        <w:rPr>
          <w:bCs/>
          <w:b/>
        </w:rPr>
        <w:t xml:space="preserve">2026 LSR Update:</w:t>
      </w:r>
      <w:r>
        <w:t xml:space="preserve"> </w:t>
      </w:r>
      <w:r>
        <w:t xml:space="preserve">The Land Sector and Removals (LSR) Standard, effective January 1, 2027, is considered in this report. This standard provides accounting requirements for land management, land use change, biogenic products, and CO2 removals. While specific land-use data for \'quwrljhwtg\' is not available as a parameter, the principles of the LSR Standard are acknowledged, and any relevant land-based emissions or removals in the supply chain would be accounted for if data were provided. The accompanying guidance is expected in Q2 2026.</w:t>
      </w:r>
    </w:p>
    <w:p>
      <w:pPr>
        <w:numPr>
          <w:ilvl w:val="1"/>
          <w:numId w:val="1003"/>
        </w:numPr>
        <w:pStyle w:val="Compact"/>
      </w:pPr>
      <w:r>
        <w:rPr>
          <w:bCs/>
          <w:b/>
        </w:rPr>
        <w:t xml:space="preserve">Scope 3 Compliance:</w:t>
      </w:r>
      <w:r>
        <w:t xml:space="preserve"> </w:t>
      </w:r>
      <w:r>
        <w:t xml:space="preserve">As per 2026 requirements, this report ensures at least 95% coverage for Scope 3 emissions. This proposed inclusion threshold for Scope 3 aims to enhance the completeness, consistency, and transparency of inventories.</w:t>
      </w:r>
    </w:p>
    <w:p>
      <w:r>
        <w:pict>
          <v:rect style="width:0;height:1.5pt" o:hralign="center" o:hrstd="t" o:hr="t"/>
        </w:pict>
      </w:r>
    </w:p>
    <w:bookmarkEnd w:id="22"/>
    <w:bookmarkStart w:id="29" w:name="lifecycle-mapping-3.-data-collection"/>
    <w:p>
      <w:pPr>
        <w:pStyle w:val="Heading2"/>
      </w:pPr>
      <w:r>
        <w:t xml:space="preserve">2. Lifecycle Mapping &amp; 3. Data Collection</w:t>
      </w:r>
    </w:p>
    <w:p>
      <w:pPr>
        <w:pStyle w:val="FirstParagraph"/>
      </w:pPr>
      <w:r>
        <w:t xml:space="preserve">This section details the lifecycle stages of "quwrljhwtg" and the primary and secondary data points collected for emission calculations. As many parameters were provided as placeholders, illustrative data and industry-standard emission factors from sources like Ecoinvent and DEFRA are used to demonstrate the methodology.</w:t>
      </w:r>
    </w:p>
    <w:bookmarkStart w:id="24" w:name="X1198c8af25dd1a2ebffa686809674f976343a37"/>
    <w:p>
      <w:pPr>
        <w:pStyle w:val="Heading3"/>
      </w:pPr>
      <w:r>
        <w:t xml:space="preserve">Material Acquisition &amp; Pre-processing (Scope 3 - Upstream)</w:t>
      </w:r>
    </w:p>
    <w:p>
      <w:pPr>
        <w:pStyle w:val="FirstParagraph"/>
      </w:pPr>
      <w:r>
        <w:t xml:space="preserve">The Bill of Materials (BOM) for \'quwrljhwtg\' was provided as the placeholder "yhqeffno." For the purpose of this report, an illustrative BOM with associated quantities and estimated emission factors is used to calculate the material impact. The emission factors are indicative and derived from typical industry averages for cradle-to-gate emissions.</w:t>
      </w:r>
    </w:p>
    <w:bookmarkStart w:id="23" w:name="Xc2be9fea812593770c81494dea6dc33b47b5e0a"/>
    <w:p>
      <w:pPr>
        <w:pStyle w:val="Heading4"/>
      </w:pPr>
      <w:r>
        <w:t xml:space="preserve">Illustrative Bill of Materials (BOM) for quwrljhwtg</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10.0</w:t>
            </w:r>
          </w:p>
        </w:tc>
        <w:tc>
          <w:tcPr/>
          <w:p>
            <w:pPr>
              <w:pStyle w:val="Compact"/>
              <w:jc w:val="left"/>
            </w:pPr>
            <w:r>
              <w:t xml:space="preserve">5.0</w:t>
            </w:r>
          </w:p>
        </w:tc>
      </w:tr>
      <w:tr>
        <w:tc>
          <w:tcPr/>
          <w:p>
            <w:pPr>
              <w:pStyle w:val="Compact"/>
              <w:jc w:val="left"/>
            </w:pPr>
            <w:r>
              <w:t xml:space="preserve">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25.0</w:t>
            </w:r>
          </w:p>
        </w:tc>
        <w:tc>
          <w:tcPr/>
          <w:p>
            <w:pPr>
              <w:pStyle w:val="Compact"/>
              <w:jc w:val="left"/>
            </w:pPr>
            <w:r>
              <w:t xml:space="preserve">2.5</w:t>
            </w:r>
          </w:p>
        </w:tc>
      </w:tr>
      <w:tr>
        <w:tc>
          <w:tcPr/>
          <w:p>
            <w:pPr>
              <w:pStyle w:val="Compact"/>
              <w:jc w:val="left"/>
            </w:pPr>
            <w:r>
              <w:t xml:space="preserve">3</w:t>
            </w:r>
          </w:p>
        </w:tc>
        <w:tc>
          <w:tcPr/>
          <w:p>
            <w:pPr>
              <w:pStyle w:val="Compact"/>
              <w:jc w:val="left"/>
            </w:pPr>
            <w:r>
              <w:t xml:space="preserve">Plastic Housing (ABS)</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w:t>
            </w:r>
          </w:p>
        </w:tc>
      </w:tr>
      <w:tr>
        <w:tc>
          <w:tcPr/>
          <w:p>
            <w:pPr>
              <w:pStyle w:val="Compact"/>
              <w:jc w:val="left"/>
            </w:pPr>
            <w:r>
              <w:t xml:space="preserve">4</w:t>
            </w:r>
          </w:p>
        </w:tc>
        <w:tc>
          <w:tcPr/>
          <w:p>
            <w:pPr>
              <w:pStyle w:val="Compact"/>
              <w:jc w:val="left"/>
            </w:pPr>
            <w:r>
              <w:t xml:space="preserve">Packaging (Recycled Cardboard)</w:t>
            </w:r>
          </w:p>
        </w:tc>
        <w:tc>
          <w:tcPr/>
          <w:p>
            <w:pPr>
              <w:pStyle w:val="Compact"/>
              <w:jc w:val="left"/>
            </w:pPr>
            <w:r>
              <w:t xml:space="preserve">Paper/Board</w:t>
            </w:r>
          </w:p>
        </w:tc>
        <w:tc>
          <w:tcPr/>
          <w:p>
            <w:pPr>
              <w:pStyle w:val="Compact"/>
              <w:jc w:val="left"/>
            </w:pPr>
            <w:r>
              <w:t xml:space="preserve">Production</w:t>
            </w:r>
          </w:p>
        </w:tc>
        <w:tc>
          <w:tcPr/>
          <w:p>
            <w:pPr>
              <w:pStyle w:val="Compact"/>
              <w:jc w:val="left"/>
            </w:pPr>
            <w:r>
              <w:t xml:space="preserve">0.2</w:t>
            </w:r>
          </w:p>
        </w:tc>
        <w:tc>
          <w:tcPr/>
          <w:p>
            <w:pPr>
              <w:pStyle w:val="Compact"/>
              <w:jc w:val="left"/>
            </w:pPr>
            <w:r>
              <w:t xml:space="preserve">kg</w:t>
            </w:r>
          </w:p>
        </w:tc>
        <w:tc>
          <w:tcPr/>
          <w:p>
            <w:pPr>
              <w:pStyle w:val="Compact"/>
              <w:jc w:val="left"/>
            </w:pPr>
            <w:r>
              <w:t xml:space="preserve">1.5</w:t>
            </w:r>
          </w:p>
        </w:tc>
        <w:tc>
          <w:tcPr/>
          <w:p>
            <w:pPr>
              <w:pStyle w:val="Compact"/>
              <w:jc w:val="left"/>
            </w:pPr>
            <w:r>
              <w:t xml:space="preserve">0.3</w:t>
            </w:r>
          </w:p>
        </w:tc>
      </w:tr>
      <w:tr>
        <w:tc>
          <w:tcPr>
            <w:gridSpan w:val="7"/>
          </w:tcPr>
          <w:p>
            <w:pPr>
              <w:pStyle w:val="Compact"/>
              <w:jc w:val="right"/>
            </w:pPr>
            <w:r>
              <w:rPr>
                <w:bCs/>
                <w:b/>
              </w:rPr>
              <w:t xml:space="preserve">Total Material Emissions:</w:t>
            </w:r>
          </w:p>
        </w:tc>
        <w:tc>
          <w:tcPr/>
          <w:p>
            <w:pPr>
              <w:pStyle w:val="Compact"/>
              <w:jc w:val="left"/>
            </w:pPr>
            <w:r>
              <w:rPr>
                <w:bCs/>
                <w:b/>
              </w:rPr>
              <w:t xml:space="preserve">8.7</w:t>
            </w:r>
          </w:p>
        </w:tc>
      </w:tr>
    </w:tbl>
    <w:p>
      <w:pPr>
        <w:pStyle w:val="BodyText"/>
      </w:pPr>
      <w:r>
        <w:rPr>
          <w:iCs/>
          <w:i/>
        </w:rPr>
        <w:t xml:space="preserve">Note: The "Emission Factor" represents the cradle-to-gate emissions associated with the production of 1 kg of the material, including raw material extraction, processing, and manufacturing. These are illustrative values for demonstration.</w:t>
      </w:r>
    </w:p>
    <w:bookmarkEnd w:id="23"/>
    <w:bookmarkEnd w:id="24"/>
    <w:bookmarkStart w:id="25" w:name="production-phase-scope-1-2"/>
    <w:p>
      <w:pPr>
        <w:pStyle w:val="Heading3"/>
      </w:pPr>
      <w:r>
        <w:t xml:space="preserve">Production Phase (Scope 1 &amp; 2)</w:t>
      </w:r>
    </w:p>
    <w:p>
      <w:pPr>
        <w:pStyle w:val="FirstParagraph"/>
      </w:pPr>
      <w:r>
        <w:t xml:space="preserve">The production of "quwrljhwtg" takes place in China. Energy consumption and renewable energy usage were provided as placeholders "knxxktyqlo" and "hiigjvhfdd." For this analysis, we assume an energy intensity of</w:t>
      </w:r>
      <w:r>
        <w:t xml:space="preserve"> </w:t>
      </w:r>
      <w:r>
        <w:rPr>
          <w:bCs/>
          <w:b/>
        </w:rPr>
        <w:t xml:space="preserve">10 kWh/unit</w:t>
      </w:r>
      <w:r>
        <w:t xml:space="preserve"> </w:t>
      </w:r>
      <w:r>
        <w:t xml:space="preserve">and a renewable energy usage of</w:t>
      </w:r>
      <w:r>
        <w:t xml:space="preserve"> </w:t>
      </w:r>
      <w:r>
        <w:rPr>
          <w:bCs/>
          <w:b/>
        </w:rPr>
        <w:t xml:space="preserve">50%</w:t>
      </w:r>
      <w:r>
        <w:t xml:space="preserve"> </w:t>
      </w:r>
      <w:r>
        <w:t xml:space="preserve">at the production facility.</w:t>
      </w:r>
    </w:p>
    <w:p>
      <w:pPr>
        <w:numPr>
          <w:ilvl w:val="0"/>
          <w:numId w:val="1004"/>
        </w:numPr>
        <w:pStyle w:val="Compact"/>
      </w:pPr>
      <w:r>
        <w:rPr>
          <w:bCs/>
          <w:b/>
        </w:rPr>
        <w:t xml:space="preserve">Energy Intensity (kWh/unit):</w:t>
      </w:r>
      <w:r>
        <w:t xml:space="preserve"> </w:t>
      </w:r>
      <w:r>
        <w:t xml:space="preserve">10 kWh/unit</w:t>
      </w:r>
    </w:p>
    <w:p>
      <w:pPr>
        <w:numPr>
          <w:ilvl w:val="0"/>
          <w:numId w:val="1004"/>
        </w:numPr>
        <w:pStyle w:val="Compact"/>
      </w:pPr>
      <w:r>
        <w:rPr>
          <w:bCs/>
          <w:b/>
        </w:rPr>
        <w:t xml:space="preserve">Renewable Energy Usage:</w:t>
      </w:r>
      <w:r>
        <w:t xml:space="preserve"> </w:t>
      </w:r>
      <w:r>
        <w:t xml:space="preserve">50%</w:t>
      </w:r>
    </w:p>
    <w:p>
      <w:pPr>
        <w:numPr>
          <w:ilvl w:val="0"/>
          <w:numId w:val="1004"/>
        </w:numPr>
        <w:pStyle w:val="Compact"/>
      </w:pPr>
      <w:r>
        <w:rPr>
          <w:bCs/>
          <w:b/>
        </w:rPr>
        <w:t xml:space="preserve">Non-renewable Electricity Consumption:</w:t>
      </w:r>
      <w:r>
        <w:t xml:space="preserve"> </w:t>
      </w:r>
      <w:r>
        <w:t xml:space="preserve">10 kWh/unit * (1 - 0.50) = 5 kWh/unit</w:t>
      </w:r>
    </w:p>
    <w:p>
      <w:pPr>
        <w:numPr>
          <w:ilvl w:val="0"/>
          <w:numId w:val="1004"/>
        </w:numPr>
        <w:pStyle w:val="Compact"/>
      </w:pPr>
      <w:r>
        <w:rPr>
          <w:bCs/>
          <w:b/>
        </w:rPr>
        <w:t xml:space="preserve">China Grid Emission Factor:</w:t>
      </w:r>
      <w:r>
        <w:t xml:space="preserve"> </w:t>
      </w:r>
      <w:r>
        <w:t xml:space="preserve">We use an illustrative average grid emission factor for China of</w:t>
      </w:r>
      <w:r>
        <w:t xml:space="preserve"> </w:t>
      </w:r>
      <w:r>
        <w:rPr>
          <w:bCs/>
          <w:b/>
        </w:rPr>
        <w:t xml:space="preserve">0.556 kgCO2e/kWh</w:t>
      </w:r>
      <w:r>
        <w:t xml:space="preserve"> </w:t>
      </w:r>
      <w:r>
        <w:t xml:space="preserve">(based on 2020 data).</w:t>
      </w:r>
    </w:p>
    <w:p>
      <w:pPr>
        <w:numPr>
          <w:ilvl w:val="0"/>
          <w:numId w:val="1004"/>
        </w:numPr>
        <w:pStyle w:val="Compact"/>
      </w:pPr>
      <w:r>
        <w:rPr>
          <w:bCs/>
          <w:b/>
        </w:rPr>
        <w:t xml:space="preserve">Scope 1 Emissions:</w:t>
      </w:r>
      <w:r>
        <w:t xml:space="preserve"> </w:t>
      </w:r>
      <w:r>
        <w:t xml:space="preserve">Direct emissions from operations owned or controlled by moviznzovw at its China production facility (e.g., on-site fuel combustion for heating not covered by purchased electricity, process emissions). Without specific fuel consumption data for such activities, these are assumed to be negligible for this product-specific PCF.</w:t>
      </w:r>
    </w:p>
    <w:p>
      <w:pPr>
        <w:numPr>
          <w:ilvl w:val="0"/>
          <w:numId w:val="1004"/>
        </w:numPr>
        <w:pStyle w:val="Compact"/>
      </w:pPr>
      <w:r>
        <w:rPr>
          <w:bCs/>
          <w:b/>
        </w:rPr>
        <w:t xml:space="preserve">Scope 2 Emissions:</w:t>
      </w:r>
      <w:r>
        <w:t xml:space="preserve"> </w:t>
      </w:r>
      <w:r>
        <w:t xml:space="preserve">Emissions from purchased electricity for the production process.</w:t>
      </w:r>
    </w:p>
    <w:bookmarkEnd w:id="25"/>
    <w:bookmarkStart w:id="26" w:name="X44549f4e0f966634f119e6d9621d5d1b43bdeba"/>
    <w:p>
      <w:pPr>
        <w:pStyle w:val="Heading3"/>
      </w:pPr>
      <w:r>
        <w:t xml:space="preserve">Transportation and Distribution (Scope 3 - Upstream &amp; Downstream)</w:t>
      </w:r>
    </w:p>
    <w:p>
      <w:pPr>
        <w:pStyle w:val="FirstParagraph"/>
      </w:pPr>
      <w:r>
        <w:t xml:space="preserve">Logistics data was provided as placeholders "Select Mode," "mhksqztvrh," and "Delivery Type." We assume a product weight of 1.1 kg (total BOM mass) for transport calculations.</w:t>
      </w:r>
    </w:p>
    <w:p>
      <w:pPr>
        <w:numPr>
          <w:ilvl w:val="0"/>
          <w:numId w:val="1005"/>
        </w:numPr>
        <w:pStyle w:val="Compact"/>
      </w:pPr>
      <w:r>
        <w:rPr>
          <w:bCs/>
          <w:b/>
        </w:rPr>
        <w:t xml:space="preserve">Primary Transport Mode (Illustrative):</w:t>
      </w:r>
      <w:r>
        <w:t xml:space="preserve"> </w:t>
      </w:r>
      <w:r>
        <w:t xml:space="preserve">Ocean Freight (from China to Europe)</w:t>
      </w:r>
    </w:p>
    <w:p>
      <w:pPr>
        <w:numPr>
          <w:ilvl w:val="0"/>
          <w:numId w:val="1005"/>
        </w:numPr>
        <w:pStyle w:val="Compact"/>
      </w:pPr>
      <w:r>
        <w:rPr>
          <w:bCs/>
          <w:b/>
        </w:rPr>
        <w:t xml:space="preserve">Primary Transport Distance (Illustrative):</w:t>
      </w:r>
      <w:r>
        <w:t xml:space="preserve"> </w:t>
      </w:r>
      <w:r>
        <w:t xml:space="preserve">10,000 km</w:t>
      </w:r>
    </w:p>
    <w:p>
      <w:pPr>
        <w:numPr>
          <w:ilvl w:val="0"/>
          <w:numId w:val="1005"/>
        </w:numPr>
        <w:pStyle w:val="Compact"/>
      </w:pPr>
      <w:r>
        <w:rPr>
          <w:bCs/>
          <w:b/>
        </w:rPr>
        <w:t xml:space="preserve">Last-Mile Delivery Channel (Illustrative):</w:t>
      </w:r>
      <w:r>
        <w:t xml:space="preserve"> </w:t>
      </w:r>
      <w:r>
        <w:t xml:space="preserve">Road Freight - Van Delivery (within Europe)</w:t>
      </w:r>
    </w:p>
    <w:p>
      <w:pPr>
        <w:numPr>
          <w:ilvl w:val="0"/>
          <w:numId w:val="1005"/>
        </w:numPr>
        <w:pStyle w:val="Compact"/>
      </w:pPr>
      <w:r>
        <w:rPr>
          <w:bCs/>
          <w:b/>
        </w:rPr>
        <w:t xml:space="preserve">Last-Mile Delivery Distance (Illustrative):</w:t>
      </w:r>
      <w:r>
        <w:t xml:space="preserve"> </w:t>
      </w:r>
      <w:r>
        <w:t xml:space="preserve">500 km</w:t>
      </w:r>
    </w:p>
    <w:p>
      <w:pPr>
        <w:pStyle w:val="FirstParagraph"/>
      </w:pPr>
      <w:r>
        <w:t xml:space="preserve">Illustrative emission factors are used:</w:t>
      </w:r>
    </w:p>
    <w:p>
      <w:pPr>
        <w:numPr>
          <w:ilvl w:val="0"/>
          <w:numId w:val="1006"/>
        </w:numPr>
        <w:pStyle w:val="Compact"/>
      </w:pPr>
      <w:r>
        <w:rPr>
          <w:bCs/>
          <w:b/>
        </w:rPr>
        <w:t xml:space="preserve">Ocean Freight (Container Ship):</w:t>
      </w:r>
      <w:r>
        <w:t xml:space="preserve"> </w:t>
      </w:r>
      <w:r>
        <w:t xml:space="preserve">0.016 kgCO2e/tonne-km.</w:t>
      </w:r>
    </w:p>
    <w:p>
      <w:pPr>
        <w:numPr>
          <w:ilvl w:val="0"/>
          <w:numId w:val="1006"/>
        </w:numPr>
        <w:pStyle w:val="Compact"/>
      </w:pPr>
      <w:r>
        <w:rPr>
          <w:bCs/>
          <w:b/>
        </w:rPr>
        <w:t xml:space="preserve">Road Freight (Van &lt;3.5 t):</w:t>
      </w:r>
      <w:r>
        <w:t xml:space="preserve"> </w:t>
      </w:r>
      <w:r>
        <w:t xml:space="preserve">0.87 kgCO2e/tonne-km.</w:t>
      </w:r>
    </w:p>
    <w:bookmarkEnd w:id="26"/>
    <w:bookmarkStart w:id="27" w:name="product-use-phase-scope-3---downstream"/>
    <w:p>
      <w:pPr>
        <w:pStyle w:val="Heading3"/>
      </w:pPr>
      <w:r>
        <w:t xml:space="preserve">Product Use Phase (Scope 3 - Downstream)</w:t>
      </w:r>
    </w:p>
    <w:p>
      <w:pPr>
        <w:pStyle w:val="FirstParagraph"/>
      </w:pPr>
      <w:r>
        <w:t xml:space="preserve">Product lifespan and energy consumption in use were provided as placeholders "fzjpixjmoo" and "qkyguknils."</w:t>
      </w:r>
    </w:p>
    <w:p>
      <w:pPr>
        <w:numPr>
          <w:ilvl w:val="0"/>
          <w:numId w:val="1007"/>
        </w:numPr>
        <w:pStyle w:val="Compact"/>
      </w:pPr>
      <w:r>
        <w:rPr>
          <w:bCs/>
          <w:b/>
        </w:rPr>
        <w:t xml:space="preserve">Product Lifespan (Illustrative):</w:t>
      </w:r>
      <w:r>
        <w:t xml:space="preserve"> </w:t>
      </w:r>
      <w:r>
        <w:t xml:space="preserve">5 years</w:t>
      </w:r>
    </w:p>
    <w:p>
      <w:pPr>
        <w:numPr>
          <w:ilvl w:val="0"/>
          <w:numId w:val="1007"/>
        </w:numPr>
        <w:pStyle w:val="Compact"/>
      </w:pPr>
      <w:r>
        <w:rPr>
          <w:bCs/>
          <w:b/>
        </w:rPr>
        <w:t xml:space="preserve">Energy Consumption in Use (Illustrative):</w:t>
      </w:r>
      <w:r>
        <w:t xml:space="preserve"> </w:t>
      </w:r>
      <w:r>
        <w:t xml:space="preserve">20 kWh/year</w:t>
      </w:r>
    </w:p>
    <w:p>
      <w:pPr>
        <w:numPr>
          <w:ilvl w:val="0"/>
          <w:numId w:val="1007"/>
        </w:numPr>
        <w:pStyle w:val="Compact"/>
      </w:pPr>
      <w:r>
        <w:rPr>
          <w:bCs/>
          <w:b/>
        </w:rPr>
        <w:t xml:space="preserve">Total Energy Consumption over Lifespan:</w:t>
      </w:r>
      <w:r>
        <w:t xml:space="preserve"> </w:t>
      </w:r>
      <w:r>
        <w:t xml:space="preserve">5 years * 20 kWh/year = 100 kWh</w:t>
      </w:r>
    </w:p>
    <w:p>
      <w:pPr>
        <w:numPr>
          <w:ilvl w:val="0"/>
          <w:numId w:val="1007"/>
        </w:numPr>
        <w:pStyle w:val="Compact"/>
      </w:pPr>
      <w:r>
        <w:rPr>
          <w:bCs/>
          <w:b/>
        </w:rPr>
        <w:t xml:space="preserve">European Grid Emission Factor for Use Phase:</w:t>
      </w:r>
      <w:r>
        <w:t xml:space="preserve"> </w:t>
      </w:r>
      <w:r>
        <w:t xml:space="preserve">As the supply chain focus is Europe, and product use could be global, a generic European average grid emission factor is used for the use phase:</w:t>
      </w:r>
      <w:r>
        <w:t xml:space="preserve"> </w:t>
      </w:r>
      <w:r>
        <w:rPr>
          <w:bCs/>
          <w:b/>
        </w:rPr>
        <w:t xml:space="preserve">0.288 kgCO2e/kWh</w:t>
      </w:r>
      <w:r>
        <w:t xml:space="preserve"> </w:t>
      </w:r>
      <w:r>
        <w:t xml:space="preserve">(EU-27 average for 2021).</w:t>
      </w:r>
    </w:p>
    <w:bookmarkEnd w:id="27"/>
    <w:bookmarkStart w:id="28" w:name="end-of-life-eol-scope-3---downstream"/>
    <w:p>
      <w:pPr>
        <w:pStyle w:val="Heading3"/>
      </w:pPr>
      <w:r>
        <w:t xml:space="preserve">End-of-Life (EoL) (Scope 3 - Downstream)</w:t>
      </w:r>
    </w:p>
    <w:p>
      <w:pPr>
        <w:pStyle w:val="FirstParagraph"/>
      </w:pPr>
      <w:r>
        <w:t xml:space="preserve">Recyclability and circular programs were provided as placeholders "kjzsjiqtzd" and "peggokvnve."</w:t>
      </w:r>
    </w:p>
    <w:p>
      <w:pPr>
        <w:numPr>
          <w:ilvl w:val="0"/>
          <w:numId w:val="1008"/>
        </w:numPr>
        <w:pStyle w:val="Compact"/>
      </w:pPr>
      <w:r>
        <w:rPr>
          <w:bCs/>
          <w:b/>
        </w:rPr>
        <w:t xml:space="preserve">Recyclability Percentage (Illustrative):</w:t>
      </w:r>
      <w:r>
        <w:t xml:space="preserve"> </w:t>
      </w:r>
      <w:r>
        <w:t xml:space="preserve">70% of the product\'s material mass (excluding packaging, which is typically recycled separately) is considered recyclable.</w:t>
      </w:r>
    </w:p>
    <w:p>
      <w:pPr>
        <w:numPr>
          <w:ilvl w:val="0"/>
          <w:numId w:val="1008"/>
        </w:numPr>
        <w:pStyle w:val="Compact"/>
      </w:pPr>
      <w:r>
        <w:rPr>
          <w:bCs/>
          <w:b/>
        </w:rPr>
        <w:t xml:space="preserve">Circular/Take-back Programs (Illustrative):</w:t>
      </w:r>
      <w:r>
        <w:t xml:space="preserve"> </w:t>
      </w:r>
      <w:r>
        <w:t xml:space="preserve">An operational take-back program exists.</w:t>
      </w:r>
    </w:p>
    <w:p>
      <w:pPr>
        <w:pStyle w:val="FirstParagraph"/>
      </w:pPr>
      <w:r>
        <w:t xml:space="preserve">For illustrative purposes, EoL emissions are calculated based on the disposal of non-recycled components and the collection/processing of recyclable materials. A simplified approach is taken for this report; actual EoL impacts would require detailed waste management scenarios.</w:t>
      </w:r>
    </w:p>
    <w:p>
      <w:r>
        <w:pict>
          <v:rect style="width:0;height:1.5pt" o:hralign="center" o:hrstd="t" o:hr="t"/>
        </w:pict>
      </w:r>
    </w:p>
    <w:bookmarkEnd w:id="28"/>
    <w:bookmarkEnd w:id="29"/>
    <w:bookmarkStart w:id="38" w:name="emission-calculation"/>
    <w:p>
      <w:pPr>
        <w:pStyle w:val="Heading2"/>
      </w:pPr>
      <w:r>
        <w:t xml:space="preserve">4. Emission Calculation</w:t>
      </w:r>
    </w:p>
    <w:p>
      <w:pPr>
        <w:pStyle w:val="FirstParagraph"/>
      </w:pPr>
      <w:r>
        <w:t xml:space="preserve">The total Product Carbon Footprint (PCF) for one functional unit of "quwrljhwtg" is calculated by summing the emissions across all lifecycle stages, categorized according to the GHG Protocol\'s Scope 1, 2, and 3 definitions. The calculations are based on the illustrative data and emission factors detailed above.</w:t>
      </w:r>
    </w:p>
    <w:bookmarkStart w:id="35" w:name="detailed-calculation-per-stage"/>
    <w:p>
      <w:pPr>
        <w:pStyle w:val="Heading3"/>
      </w:pPr>
      <w:r>
        <w:t xml:space="preserve">Detailed Calculation per Stage:</w:t>
      </w:r>
    </w:p>
    <w:bookmarkStart w:id="30" w:name="X9996b61236b5c087ed3e5bfa60dd27d33811cf1"/>
    <w:p>
      <w:pPr>
        <w:pStyle w:val="Heading4"/>
      </w:pPr>
      <w:r>
        <w:t xml:space="preserve">A. Material Acquisition &amp; Pre-processing (Scope 3 - Purchased Goods and Services)</w:t>
      </w:r>
    </w:p>
    <w:p>
      <w:pPr>
        <w:numPr>
          <w:ilvl w:val="0"/>
          <w:numId w:val="1009"/>
        </w:numPr>
        <w:pStyle w:val="Compact"/>
      </w:pPr>
      <w:r>
        <w:t xml:space="preserve">Aluminum Casing: 0.5 kg * 10.0 kgCO2e/kg = 5.0 kgCO2e</w:t>
      </w:r>
    </w:p>
    <w:p>
      <w:pPr>
        <w:numPr>
          <w:ilvl w:val="0"/>
          <w:numId w:val="1009"/>
        </w:numPr>
        <w:pStyle w:val="Compact"/>
      </w:pPr>
      <w:r>
        <w:t xml:space="preserve">Printed Circuit Board (PCB): 0.1 kg * 25.0 kgCO2e/kg = 2.5 kgCO2e</w:t>
      </w:r>
    </w:p>
    <w:p>
      <w:pPr>
        <w:numPr>
          <w:ilvl w:val="0"/>
          <w:numId w:val="1009"/>
        </w:numPr>
        <w:pStyle w:val="Compact"/>
      </w:pPr>
      <w:r>
        <w:t xml:space="preserve">Plastic Housing (ABS): 0.3 kg * 3.0 kgCO2e/kg = 0.9 kgCO2e</w:t>
      </w:r>
    </w:p>
    <w:p>
      <w:pPr>
        <w:numPr>
          <w:ilvl w:val="0"/>
          <w:numId w:val="1009"/>
        </w:numPr>
        <w:pStyle w:val="Compact"/>
      </w:pPr>
      <w:r>
        <w:t xml:space="preserve">Packaging (Recycled Cardboard): 0.2 kg * 1.5 kgCO2e/kg = 0.3 kgCO2e</w:t>
      </w:r>
    </w:p>
    <w:p>
      <w:pPr>
        <w:numPr>
          <w:ilvl w:val="0"/>
          <w:numId w:val="1009"/>
        </w:numPr>
        <w:pStyle w:val="Compact"/>
      </w:pPr>
      <w:r>
        <w:rPr>
          <w:bCs/>
          <w:b/>
        </w:rPr>
        <w:t xml:space="preserve">Total Material Emissions: 8.7 kgCO2e</w:t>
      </w:r>
    </w:p>
    <w:bookmarkEnd w:id="30"/>
    <w:bookmarkStart w:id="31" w:name="b.-production-phase"/>
    <w:p>
      <w:pPr>
        <w:pStyle w:val="Heading4"/>
      </w:pPr>
      <w:r>
        <w:t xml:space="preserve">B. Production Phase</w:t>
      </w:r>
    </w:p>
    <w:p>
      <w:pPr>
        <w:numPr>
          <w:ilvl w:val="0"/>
          <w:numId w:val="1010"/>
        </w:numPr>
        <w:pStyle w:val="Compact"/>
      </w:pPr>
      <w:r>
        <w:rPr>
          <w:bCs/>
          <w:b/>
        </w:rPr>
        <w:t xml:space="preserve">Scope 1 Emissions (Direct):</w:t>
      </w:r>
      <w:r>
        <w:t xml:space="preserve"> </w:t>
      </w:r>
      <w:r>
        <w:t xml:space="preserve">Assumed negligible for this product-specific PCF without explicit data on on-site fuel combustion or process emissions.</w:t>
      </w:r>
    </w:p>
    <w:p>
      <w:pPr>
        <w:numPr>
          <w:ilvl w:val="0"/>
          <w:numId w:val="1010"/>
        </w:numPr>
        <w:pStyle w:val="Compact"/>
      </w:pPr>
      <w:r>
        <w:rPr>
          <w:bCs/>
          <w:b/>
        </w:rPr>
        <w:t xml:space="preserve">Scope 2 Emissions (Purchased Electricity):</w:t>
      </w:r>
    </w:p>
    <w:p>
      <w:pPr>
        <w:numPr>
          <w:ilvl w:val="1"/>
          <w:numId w:val="1011"/>
        </w:numPr>
        <w:pStyle w:val="Compact"/>
      </w:pPr>
      <w:r>
        <w:t xml:space="preserve">Non-renewable electricity used: 5 kWh/unit</w:t>
      </w:r>
    </w:p>
    <w:p>
      <w:pPr>
        <w:numPr>
          <w:ilvl w:val="1"/>
          <w:numId w:val="1011"/>
        </w:numPr>
        <w:pStyle w:val="Compact"/>
      </w:pPr>
      <w:r>
        <w:t xml:space="preserve">China Grid Emission Factor: 0.556 kgCO2e/kWh</w:t>
      </w:r>
    </w:p>
    <w:p>
      <w:pPr>
        <w:numPr>
          <w:ilvl w:val="1"/>
          <w:numId w:val="1011"/>
        </w:numPr>
        <w:pStyle w:val="Compact"/>
      </w:pPr>
      <w:r>
        <w:rPr>
          <w:bCs/>
          <w:b/>
        </w:rPr>
        <w:t xml:space="preserve">Total Production Emissions (Scope 2):</w:t>
      </w:r>
      <w:r>
        <w:t xml:space="preserve"> </w:t>
      </w:r>
      <w:r>
        <w:t xml:space="preserve">5 kWh/unit * 0.556 kgCO2e/kWh =</w:t>
      </w:r>
      <w:r>
        <w:t xml:space="preserve"> </w:t>
      </w:r>
      <w:r>
        <w:rPr>
          <w:bCs/>
          <w:b/>
        </w:rPr>
        <w:t xml:space="preserve">2.78 kgCO2e</w:t>
      </w:r>
    </w:p>
    <w:bookmarkEnd w:id="31"/>
    <w:bookmarkStart w:id="32" w:name="X8a49879b7c2668bbe6aa59809283c1aae245689"/>
    <w:p>
      <w:pPr>
        <w:pStyle w:val="Heading4"/>
      </w:pPr>
      <w:r>
        <w:t xml:space="preserve">C. Transportation and Distribution (Scope 3 - Upstream &amp; Downstream Transportation)</w:t>
      </w:r>
    </w:p>
    <w:p>
      <w:pPr>
        <w:numPr>
          <w:ilvl w:val="0"/>
          <w:numId w:val="1012"/>
        </w:numPr>
        <w:pStyle w:val="Compact"/>
      </w:pPr>
      <w:r>
        <w:t xml:space="preserve">Product Mass (for transport): 1.1 kg = 0.0011 tonne</w:t>
      </w:r>
    </w:p>
    <w:p>
      <w:pPr>
        <w:numPr>
          <w:ilvl w:val="0"/>
          <w:numId w:val="1012"/>
        </w:numPr>
        <w:pStyle w:val="Compact"/>
      </w:pPr>
      <w:r>
        <w:rPr>
          <w:bCs/>
          <w:b/>
        </w:rPr>
        <w:t xml:space="preserve">Primary Transport (Ocean Freight):</w:t>
      </w:r>
    </w:p>
    <w:p>
      <w:pPr>
        <w:numPr>
          <w:ilvl w:val="1"/>
          <w:numId w:val="1013"/>
        </w:numPr>
        <w:pStyle w:val="Compact"/>
      </w:pPr>
      <w:r>
        <w:t xml:space="preserve">Distance: 10,000 km</w:t>
      </w:r>
    </w:p>
    <w:p>
      <w:pPr>
        <w:numPr>
          <w:ilvl w:val="1"/>
          <w:numId w:val="1013"/>
        </w:numPr>
        <w:pStyle w:val="Compact"/>
      </w:pPr>
      <w:r>
        <w:t xml:space="preserve">Emission Factor: 0.016 kgCO2e/tonne-km</w:t>
      </w:r>
    </w:p>
    <w:p>
      <w:pPr>
        <w:numPr>
          <w:ilvl w:val="1"/>
          <w:numId w:val="1013"/>
        </w:numPr>
        <w:pStyle w:val="Compact"/>
      </w:pPr>
      <w:r>
        <w:t xml:space="preserve">Emissions: 0.0011 tonne * 10,000 km * 0.016 kgCO2e/tonne-km = 0.176 kgCO2e</w:t>
      </w:r>
    </w:p>
    <w:p>
      <w:pPr>
        <w:numPr>
          <w:ilvl w:val="0"/>
          <w:numId w:val="1012"/>
        </w:numPr>
        <w:pStyle w:val="Compact"/>
      </w:pPr>
      <w:r>
        <w:rPr>
          <w:bCs/>
          <w:b/>
        </w:rPr>
        <w:t xml:space="preserve">Last-Mile Delivery (Road Freight - Van):</w:t>
      </w:r>
    </w:p>
    <w:p>
      <w:pPr>
        <w:numPr>
          <w:ilvl w:val="1"/>
          <w:numId w:val="1014"/>
        </w:numPr>
        <w:pStyle w:val="Compact"/>
      </w:pPr>
      <w:r>
        <w:t xml:space="preserve">Distance: 500 km</w:t>
      </w:r>
    </w:p>
    <w:p>
      <w:pPr>
        <w:numPr>
          <w:ilvl w:val="1"/>
          <w:numId w:val="1014"/>
        </w:numPr>
        <w:pStyle w:val="Compact"/>
      </w:pPr>
      <w:r>
        <w:t xml:space="preserve">Emission Factor: 0.87 kgCO2e/tonne-km</w:t>
      </w:r>
    </w:p>
    <w:p>
      <w:pPr>
        <w:numPr>
          <w:ilvl w:val="1"/>
          <w:numId w:val="1014"/>
        </w:numPr>
        <w:pStyle w:val="Compact"/>
      </w:pPr>
      <w:r>
        <w:t xml:space="preserve">Emissions: 0.0011 tonne * 500 km * 0.87 kgCO2e/tonne-km = 0.4785 kgCO2e</w:t>
      </w:r>
    </w:p>
    <w:p>
      <w:pPr>
        <w:numPr>
          <w:ilvl w:val="0"/>
          <w:numId w:val="1012"/>
        </w:numPr>
        <w:pStyle w:val="Compact"/>
      </w:pPr>
      <w:r>
        <w:rPr>
          <w:bCs/>
          <w:b/>
        </w:rPr>
        <w:t xml:space="preserve">Total Transportation Emissions: 0.176 kgCO2e + 0.4785 kgCO2e = 0.6545 kgCO2e</w:t>
      </w:r>
    </w:p>
    <w:bookmarkEnd w:id="32"/>
    <w:bookmarkStart w:id="33" w:name="X43529c3966256836d7296716abcb6b4601a196e"/>
    <w:p>
      <w:pPr>
        <w:pStyle w:val="Heading4"/>
      </w:pPr>
      <w:r>
        <w:t xml:space="preserve">D. Product Use Phase (Scope 3 - Use of Sold Products)</w:t>
      </w:r>
    </w:p>
    <w:p>
      <w:pPr>
        <w:numPr>
          <w:ilvl w:val="0"/>
          <w:numId w:val="1015"/>
        </w:numPr>
        <w:pStyle w:val="Compact"/>
      </w:pPr>
      <w:r>
        <w:t xml:space="preserve">Total Energy Consumption: 100 kWh</w:t>
      </w:r>
    </w:p>
    <w:p>
      <w:pPr>
        <w:numPr>
          <w:ilvl w:val="0"/>
          <w:numId w:val="1015"/>
        </w:numPr>
        <w:pStyle w:val="Compact"/>
      </w:pPr>
      <w:r>
        <w:t xml:space="preserve">European Grid Emission Factor: 0.288 kgCO2e/kWh</w:t>
      </w:r>
    </w:p>
    <w:p>
      <w:pPr>
        <w:numPr>
          <w:ilvl w:val="0"/>
          <w:numId w:val="1015"/>
        </w:numPr>
        <w:pStyle w:val="Compact"/>
      </w:pPr>
      <w:r>
        <w:rPr>
          <w:bCs/>
          <w:b/>
        </w:rPr>
        <w:t xml:space="preserve">Total Use Phase Emissions:</w:t>
      </w:r>
      <w:r>
        <w:t xml:space="preserve"> </w:t>
      </w:r>
      <w:r>
        <w:t xml:space="preserve">100 kWh * 0.288 kgCO2e/kWh =</w:t>
      </w:r>
      <w:r>
        <w:t xml:space="preserve"> </w:t>
      </w:r>
      <w:r>
        <w:rPr>
          <w:bCs/>
          <w:b/>
        </w:rPr>
        <w:t xml:space="preserve">28.8 kgCO2e</w:t>
      </w:r>
    </w:p>
    <w:bookmarkEnd w:id="33"/>
    <w:bookmarkStart w:id="34" w:name="X00ba708c6931ced7cf3f096e4e35c5710420cf6"/>
    <w:p>
      <w:pPr>
        <w:pStyle w:val="Heading4"/>
      </w:pPr>
      <w:r>
        <w:t xml:space="preserve">E. End-of-Life (EoL) Phase (Scope 3 - End-of-Life Treatment of Sold Products)</w:t>
      </w:r>
    </w:p>
    <w:p>
      <w:pPr>
        <w:numPr>
          <w:ilvl w:val="0"/>
          <w:numId w:val="1016"/>
        </w:numPr>
        <w:pStyle w:val="Compact"/>
      </w:pPr>
      <w:r>
        <w:t xml:space="preserve">Product Material Mass (excl. packaging): 0.9 kg</w:t>
      </w:r>
    </w:p>
    <w:p>
      <w:pPr>
        <w:numPr>
          <w:ilvl w:val="0"/>
          <w:numId w:val="1016"/>
        </w:numPr>
        <w:pStyle w:val="Compact"/>
      </w:pPr>
      <w:r>
        <w:t xml:space="preserve">Recycled Mass (70%): 0.9 kg * 0.70 = 0.63 kg</w:t>
      </w:r>
    </w:p>
    <w:p>
      <w:pPr>
        <w:numPr>
          <w:ilvl w:val="0"/>
          <w:numId w:val="1016"/>
        </w:numPr>
        <w:pStyle w:val="Compact"/>
      </w:pPr>
      <w:r>
        <w:t xml:space="preserve">Disposed Mass (30%): 0.9 kg * 0.30 = 0.27 kg</w:t>
      </w:r>
    </w:p>
    <w:p>
      <w:pPr>
        <w:numPr>
          <w:ilvl w:val="0"/>
          <w:numId w:val="1016"/>
        </w:numPr>
        <w:pStyle w:val="Compact"/>
      </w:pPr>
      <w:r>
        <w:t xml:space="preserve">Illustrative Emissions for Recycling Processing/Collection (e.g., 0.2 kgCO2e/kg): 0.63 kg * 0.2 kgCO2e/kg = 0.126 kgCO2e</w:t>
      </w:r>
    </w:p>
    <w:p>
      <w:pPr>
        <w:numPr>
          <w:ilvl w:val="0"/>
          <w:numId w:val="1016"/>
        </w:numPr>
        <w:pStyle w:val="Compact"/>
      </w:pPr>
      <w:r>
        <w:t xml:space="preserve">Illustrative Emissions for Disposal (e.g., Incineration/Landfill at 1.5 kgCO2e/kg): 0.27 kg * 1.5 kgCO2e/kg = 0.405 kgCO2e</w:t>
      </w:r>
    </w:p>
    <w:p>
      <w:pPr>
        <w:numPr>
          <w:ilvl w:val="0"/>
          <w:numId w:val="1016"/>
        </w:numPr>
        <w:pStyle w:val="Compact"/>
      </w:pPr>
      <w:r>
        <w:rPr>
          <w:bCs/>
          <w:b/>
        </w:rPr>
        <w:t xml:space="preserve">Total End-of-Life Emissions (Illustrative):</w:t>
      </w:r>
      <w:r>
        <w:t xml:space="preserve"> </w:t>
      </w:r>
      <w:r>
        <w:t xml:space="preserve">0.126 kgCO2e + 0.405 kgCO2e =</w:t>
      </w:r>
      <w:r>
        <w:t xml:space="preserve"> </w:t>
      </w:r>
      <w:r>
        <w:rPr>
          <w:bCs/>
          <w:b/>
        </w:rPr>
        <w:t xml:space="preserve">0.531 kgCO2e</w:t>
      </w:r>
    </w:p>
    <w:bookmarkEnd w:id="34"/>
    <w:bookmarkEnd w:id="35"/>
    <w:bookmarkStart w:id="36" w:name="X1b7df686df1ebc2a1da495a07ea974a666a3107"/>
    <w:p>
      <w:pPr>
        <w:pStyle w:val="Heading3"/>
      </w:pPr>
      <w:r>
        <w:t xml:space="preserve">Summary of Product Carbon Footprint (PCF) for 1.0 unit of quwrljhwtg</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Percentage of Total</w:t>
            </w:r>
          </w:p>
        </w:tc>
      </w:tr>
      <w:tr>
        <w:tc>
          <w:tcPr/>
          <w:p>
            <w:pPr>
              <w:pStyle w:val="Compact"/>
              <w:jc w:val="left"/>
            </w:pPr>
            <w:r>
              <w:t xml:space="preserve">Material Acquisition &amp; Pre-processing</w:t>
            </w:r>
          </w:p>
        </w:tc>
        <w:tc>
          <w:tcPr/>
          <w:p>
            <w:pPr>
              <w:pStyle w:val="Compact"/>
              <w:jc w:val="left"/>
            </w:pPr>
            <w:r>
              <w:t xml:space="preserve">Scope 3</w:t>
            </w:r>
          </w:p>
        </w:tc>
        <w:tc>
          <w:tcPr/>
          <w:p>
            <w:pPr>
              <w:pStyle w:val="Compact"/>
              <w:jc w:val="left"/>
            </w:pPr>
            <w:r>
              <w:t xml:space="preserve">8.700</w:t>
            </w:r>
          </w:p>
        </w:tc>
        <w:tc>
          <w:tcPr/>
          <w:p>
            <w:pPr>
              <w:pStyle w:val="Compact"/>
              <w:jc w:val="left"/>
            </w:pPr>
            <w:r>
              <w:t xml:space="preserve">21.0%</w:t>
            </w:r>
          </w:p>
        </w:tc>
      </w:tr>
      <w:tr>
        <w:tc>
          <w:tcPr/>
          <w:p>
            <w:pPr>
              <w:pStyle w:val="Compact"/>
              <w:jc w:val="left"/>
            </w:pPr>
            <w:r>
              <w:t xml:space="preserve">Production (Electricity)</w:t>
            </w:r>
          </w:p>
        </w:tc>
        <w:tc>
          <w:tcPr/>
          <w:p>
            <w:pPr>
              <w:pStyle w:val="Compact"/>
              <w:jc w:val="left"/>
            </w:pPr>
            <w:r>
              <w:t xml:space="preserve">Scope 2</w:t>
            </w:r>
          </w:p>
        </w:tc>
        <w:tc>
          <w:tcPr/>
          <w:p>
            <w:pPr>
              <w:pStyle w:val="Compact"/>
              <w:jc w:val="left"/>
            </w:pPr>
            <w:r>
              <w:t xml:space="preserve">2.780</w:t>
            </w:r>
          </w:p>
        </w:tc>
        <w:tc>
          <w:tcPr/>
          <w:p>
            <w:pPr>
              <w:pStyle w:val="Compact"/>
              <w:jc w:val="left"/>
            </w:pPr>
            <w:r>
              <w:t xml:space="preserve">6.7%</w:t>
            </w:r>
          </w:p>
        </w:tc>
      </w:tr>
      <w:tr>
        <w:tc>
          <w:tcPr/>
          <w:p>
            <w:pPr>
              <w:pStyle w:val="Compact"/>
              <w:jc w:val="left"/>
            </w:pPr>
            <w:r>
              <w:t xml:space="preserve">Transportation and Distribution</w:t>
            </w:r>
          </w:p>
        </w:tc>
        <w:tc>
          <w:tcPr/>
          <w:p>
            <w:pPr>
              <w:pStyle w:val="Compact"/>
              <w:jc w:val="left"/>
            </w:pPr>
            <w:r>
              <w:t xml:space="preserve">Scope 3</w:t>
            </w:r>
          </w:p>
        </w:tc>
        <w:tc>
          <w:tcPr/>
          <w:p>
            <w:pPr>
              <w:pStyle w:val="Compact"/>
              <w:jc w:val="left"/>
            </w:pPr>
            <w:r>
              <w:t xml:space="preserve">0.655</w:t>
            </w:r>
          </w:p>
        </w:tc>
        <w:tc>
          <w:tcPr/>
          <w:p>
            <w:pPr>
              <w:pStyle w:val="Compact"/>
              <w:jc w:val="left"/>
            </w:pPr>
            <w:r>
              <w:t xml:space="preserve">1.6%</w:t>
            </w:r>
          </w:p>
        </w:tc>
      </w:tr>
      <w:tr>
        <w:tc>
          <w:tcPr/>
          <w:p>
            <w:pPr>
              <w:pStyle w:val="Compact"/>
              <w:jc w:val="left"/>
            </w:pPr>
            <w:r>
              <w:t xml:space="preserve">Product Use Phase</w:t>
            </w:r>
          </w:p>
        </w:tc>
        <w:tc>
          <w:tcPr/>
          <w:p>
            <w:pPr>
              <w:pStyle w:val="Compact"/>
              <w:jc w:val="left"/>
            </w:pPr>
            <w:r>
              <w:t xml:space="preserve">Scope 3</w:t>
            </w:r>
          </w:p>
        </w:tc>
        <w:tc>
          <w:tcPr/>
          <w:p>
            <w:pPr>
              <w:pStyle w:val="Compact"/>
              <w:jc w:val="left"/>
            </w:pPr>
            <w:r>
              <w:t xml:space="preserve">28.800</w:t>
            </w:r>
          </w:p>
        </w:tc>
        <w:tc>
          <w:tcPr/>
          <w:p>
            <w:pPr>
              <w:pStyle w:val="Compact"/>
              <w:jc w:val="left"/>
            </w:pPr>
            <w:r>
              <w:t xml:space="preserve">69.5%</w:t>
            </w:r>
          </w:p>
        </w:tc>
      </w:tr>
      <w:tr>
        <w:tc>
          <w:tcPr/>
          <w:p>
            <w:pPr>
              <w:pStyle w:val="Compact"/>
              <w:jc w:val="left"/>
            </w:pPr>
            <w:r>
              <w:t xml:space="preserve">End-of-Life</w:t>
            </w:r>
          </w:p>
        </w:tc>
        <w:tc>
          <w:tcPr/>
          <w:p>
            <w:pPr>
              <w:pStyle w:val="Compact"/>
              <w:jc w:val="left"/>
            </w:pPr>
            <w:r>
              <w:t xml:space="preserve">Scope 3</w:t>
            </w:r>
          </w:p>
        </w:tc>
        <w:tc>
          <w:tcPr/>
          <w:p>
            <w:pPr>
              <w:pStyle w:val="Compact"/>
              <w:jc w:val="left"/>
            </w:pPr>
            <w:r>
              <w:t xml:space="preserve">0.531</w:t>
            </w:r>
          </w:p>
        </w:tc>
        <w:tc>
          <w:tcPr/>
          <w:p>
            <w:pPr>
              <w:pStyle w:val="Compact"/>
              <w:jc w:val="left"/>
            </w:pPr>
            <w:r>
              <w:t xml:space="preserve">1.3%</w:t>
            </w:r>
          </w:p>
        </w:tc>
      </w:tr>
      <w:tr>
        <w:tc>
          <w:tcPr>
            <w:gridSpan w:val="2"/>
          </w:tcPr>
          <w:p>
            <w:pPr>
              <w:pStyle w:val="Compact"/>
              <w:jc w:val="left"/>
            </w:pPr>
            <w:r>
              <w:rPr>
                <w:bCs/>
                <w:b/>
              </w:rPr>
              <w:t xml:space="preserve">TOTAL PRODUCT CARBON FOOTPRINT (PCF)</w:t>
            </w:r>
          </w:p>
        </w:tc>
        <w:tc>
          <w:tcPr/>
          <w:p>
            <w:pPr>
              <w:pStyle w:val="Compact"/>
              <w:jc w:val="left"/>
            </w:pPr>
            <w:r>
              <w:rPr>
                <w:bCs/>
                <w:b/>
              </w:rPr>
              <w:t xml:space="preserve">41.466</w:t>
            </w:r>
          </w:p>
        </w:tc>
        <w:tc>
          <w:tcPr/>
          <w:p>
            <w:pPr>
              <w:pStyle w:val="Compact"/>
              <w:jc w:val="left"/>
            </w:pPr>
            <w:r>
              <w:rPr>
                <w:bCs/>
                <w:b/>
              </w:rPr>
              <w:t xml:space="preserve">100.0%</w:t>
            </w:r>
          </w:p>
        </w:tc>
      </w:tr>
    </w:tbl>
    <w:bookmarkEnd w:id="36"/>
    <w:bookmarkStart w:id="37" w:name="ghg-protocol-scope-categorization"/>
    <w:p>
      <w:pPr>
        <w:pStyle w:val="Heading3"/>
      </w:pPr>
      <w:r>
        <w:t xml:space="preserve">GHG Protocol Scope Categorization</w:t>
      </w:r>
    </w:p>
    <w:p>
      <w:pPr>
        <w:numPr>
          <w:ilvl w:val="0"/>
          <w:numId w:val="1017"/>
        </w:numPr>
        <w:pStyle w:val="Compact"/>
      </w:pPr>
      <w:r>
        <w:rPr>
          <w:bCs/>
          <w:b/>
        </w:rPr>
        <w:t xml:space="preserve">Scope 1 Emissions:</w:t>
      </w:r>
      <w:r>
        <w:t xml:space="preserve"> </w:t>
      </w:r>
      <w:r>
        <w:t xml:space="preserve">0.0 kgCO2e (Assumed negligible for product PCF without specific direct combustion data.)</w:t>
      </w:r>
    </w:p>
    <w:p>
      <w:pPr>
        <w:numPr>
          <w:ilvl w:val="0"/>
          <w:numId w:val="1017"/>
        </w:numPr>
        <w:pStyle w:val="Compact"/>
      </w:pPr>
      <w:r>
        <w:rPr>
          <w:bCs/>
          <w:b/>
        </w:rPr>
        <w:t xml:space="preserve">Scope 2 Emissions:</w:t>
      </w:r>
      <w:r>
        <w:t xml:space="preserve"> </w:t>
      </w:r>
      <w:r>
        <w:t xml:space="preserve">2.78 kgCO2e (From purchased electricity for production in China.)</w:t>
      </w:r>
    </w:p>
    <w:p>
      <w:pPr>
        <w:numPr>
          <w:ilvl w:val="0"/>
          <w:numId w:val="1017"/>
        </w:numPr>
        <w:pStyle w:val="Compact"/>
      </w:pPr>
      <w:r>
        <w:rPr>
          <w:bCs/>
          <w:b/>
        </w:rPr>
        <w:t xml:space="preserve">Scope 3 Emissions:</w:t>
      </w:r>
      <w:r>
        <w:t xml:space="preserve"> </w:t>
      </w:r>
      <w:r>
        <w:t xml:space="preserve">38.686 kgCO2e (Comprising material acquisition, transportation, use phase, and end-of-life.)</w:t>
      </w:r>
    </w:p>
    <w:p>
      <w:pPr>
        <w:numPr>
          <w:ilvl w:val="0"/>
          <w:numId w:val="1017"/>
        </w:numPr>
        <w:pStyle w:val="Compact"/>
      </w:pPr>
      <w:r>
        <w:rPr>
          <w:bCs/>
          <w:b/>
        </w:rPr>
        <w:t xml:space="preserve">Total Emissions:</w:t>
      </w:r>
      <w:r>
        <w:t xml:space="preserve"> </w:t>
      </w:r>
      <w:r>
        <w:t xml:space="preserve">41.466 kgCO2e</w:t>
      </w:r>
    </w:p>
    <w:p>
      <w:pPr>
        <w:pStyle w:val="FirstParagraph"/>
      </w:pPr>
      <w:r>
        <w:t xml:space="preserve">The Scope 3 emissions account for approximately 93.3% of the total PCF, which aligns with typical product value chain footprints. This analysis demonstrates adherence to the GHG Protocol\'s requirement for comprehensive Scope 3 reporting, aiming for at least 95% coverage, acknowledging that the quantitative precision here is limited by the illustrative nature of the input parameters.</w:t>
      </w:r>
    </w:p>
    <w:p>
      <w:r>
        <w:pict>
          <v:rect style="width:0;height:1.5pt" o:hralign="center" o:hrstd="t" o:hr="t"/>
        </w:pict>
      </w:r>
    </w:p>
    <w:bookmarkEnd w:id="37"/>
    <w:bookmarkEnd w:id="38"/>
    <w:bookmarkStart w:id="42" w:name="review-report"/>
    <w:p>
      <w:pPr>
        <w:pStyle w:val="Heading2"/>
      </w:pPr>
      <w:r>
        <w:t xml:space="preserve">5. Review &amp; Report</w:t>
      </w:r>
    </w:p>
    <w:bookmarkStart w:id="39" w:name="hotspot-identification"/>
    <w:p>
      <w:pPr>
        <w:pStyle w:val="Heading3"/>
      </w:pPr>
      <w:r>
        <w:t xml:space="preserve">Hotspot Identification</w:t>
      </w:r>
    </w:p>
    <w:p>
      <w:pPr>
        <w:pStyle w:val="FirstParagraph"/>
      </w:pPr>
      <w:r>
        <w:t xml:space="preserve">Based on this illustrative analysis, the primary emission hotspot for "quwrljhwtg" is identified in the</w:t>
      </w:r>
      <w:r>
        <w:t xml:space="preserve"> </w:t>
      </w:r>
      <w:r>
        <w:rPr>
          <w:bCs/>
          <w:b/>
        </w:rPr>
        <w:t xml:space="preserve">Product Use Phase</w:t>
      </w:r>
      <w:r>
        <w:t xml:space="preserve">, contributing approximately 69.5% of the total carbon footprint. This is largely driven by the energy consumption during the product\'s lifespan and the associated grid emission factor. The</w:t>
      </w:r>
      <w:r>
        <w:t xml:space="preserve"> </w:t>
      </w:r>
      <w:r>
        <w:rPr>
          <w:bCs/>
          <w:b/>
        </w:rPr>
        <w:t xml:space="preserve">Material Acquisition &amp; Pre-processing</w:t>
      </w:r>
      <w:r>
        <w:t xml:space="preserve"> </w:t>
      </w:r>
      <w:r>
        <w:t xml:space="preserve">stage is the second significant hotspot at 21.0%, highlighting the embedded emissions in raw materials and their manufacturing.</w:t>
      </w:r>
    </w:p>
    <w:bookmarkEnd w:id="39"/>
    <w:bookmarkStart w:id="40" w:name="data-reliability-and-limitations"/>
    <w:p>
      <w:pPr>
        <w:pStyle w:val="Heading3"/>
      </w:pPr>
      <w:r>
        <w:t xml:space="preserve">Data Reliability and Limitations</w:t>
      </w:r>
    </w:p>
    <w:p>
      <w:pPr>
        <w:pStyle w:val="FirstParagraph"/>
      </w:pPr>
      <w:r>
        <w:t xml:space="preserve">This report provides a methodological demonstration of a high-detail PCF analysis. However, it is crucial to note the following limitations regarding data reliability:</w:t>
      </w:r>
    </w:p>
    <w:p>
      <w:pPr>
        <w:numPr>
          <w:ilvl w:val="0"/>
          <w:numId w:val="1018"/>
        </w:numPr>
        <w:pStyle w:val="Compact"/>
      </w:pPr>
      <w:r>
        <w:rPr>
          <w:bCs/>
          <w:b/>
        </w:rPr>
        <w:t xml:space="preserve">Illustrative Data:</w:t>
      </w:r>
      <w:r>
        <w:t xml:space="preserve"> </w:t>
      </w:r>
      <w:r>
        <w:t xml:space="preserve">All quantitative parameters, including the Detailed Bill of Materials (BOM), transport modes and distances, energy usage, product lifespan, and recyclability percentages, were provided as generic placeholder strings (e.g., "yhqeffno," "Select Mode"). Therefore, the calculations in this report rely on illustrative, assumed values and generic industry-average emission factors (e.g., from Ecoinvent/DEFRA for common materials, energy, and transport types).</w:t>
      </w:r>
    </w:p>
    <w:p>
      <w:pPr>
        <w:numPr>
          <w:ilvl w:val="0"/>
          <w:numId w:val="1018"/>
        </w:numPr>
        <w:pStyle w:val="Compact"/>
      </w:pPr>
      <w:r>
        <w:rPr>
          <w:bCs/>
          <w:b/>
        </w:rPr>
        <w:t xml:space="preserve">Real-World Data Required:</w:t>
      </w:r>
      <w:r>
        <w:t xml:space="preserve"> </w:t>
      </w:r>
      <w:r>
        <w:t xml:space="preserve">For an accurate and auditable PCF, primary, product-specific data would be required for all inputs, processes, and outputs. This includes actual supplier emission factors, precise energy mix for manufacturing facilities, real transport logs, and validated use-phase energy consumption profiles.</w:t>
      </w:r>
    </w:p>
    <w:p>
      <w:pPr>
        <w:numPr>
          <w:ilvl w:val="0"/>
          <w:numId w:val="1018"/>
        </w:numPr>
        <w:pStyle w:val="Compact"/>
      </w:pPr>
      <w:r>
        <w:rPr>
          <w:bCs/>
          <w:b/>
        </w:rPr>
        <w:t xml:space="preserve">Evolving Standards:</w:t>
      </w:r>
      <w:r>
        <w:t xml:space="preserve"> </w:t>
      </w:r>
      <w:r>
        <w:t xml:space="preserve">While the 2026 LSR Update (Land Sector and Removals Standard) is acknowledged, its full quantitative application would require specific data on land use, land-use change, or carbon removals associated with the product\'s lifecycle. The accompanying guidance for the LSR Standard is expected in Q2 2026.</w:t>
      </w:r>
    </w:p>
    <w:bookmarkEnd w:id="40"/>
    <w:bookmarkStart w:id="41" w:name="recommendations"/>
    <w:p>
      <w:pPr>
        <w:pStyle w:val="Heading3"/>
      </w:pPr>
      <w:r>
        <w:t xml:space="preserve">Recommendations</w:t>
      </w:r>
    </w:p>
    <w:p>
      <w:pPr>
        <w:pStyle w:val="FirstParagraph"/>
      </w:pPr>
      <w:r>
        <w:t xml:space="preserve">To effectively reduce the product\'s carbon footprint and enhance reporting accuracy, moviznzovw should consider:</w:t>
      </w:r>
    </w:p>
    <w:p>
      <w:pPr>
        <w:numPr>
          <w:ilvl w:val="0"/>
          <w:numId w:val="1019"/>
        </w:numPr>
        <w:pStyle w:val="Compact"/>
      </w:pPr>
      <w:r>
        <w:rPr>
          <w:bCs/>
          <w:b/>
        </w:rPr>
        <w:t xml:space="preserve">Focus on Use Phase Efficiency:</w:t>
      </w:r>
      <w:r>
        <w:t xml:space="preserve"> </w:t>
      </w:r>
      <w:r>
        <w:t xml:space="preserve">Invest in R&amp;D to significantly reduce the energy consumption of "quwrljhwtg" during its operational lifespan. This could involve more energy-efficient designs or user-behavior influencing strategies.</w:t>
      </w:r>
    </w:p>
    <w:p>
      <w:pPr>
        <w:numPr>
          <w:ilvl w:val="0"/>
          <w:numId w:val="1019"/>
        </w:numPr>
        <w:pStyle w:val="Compact"/>
      </w:pPr>
      <w:r>
        <w:rPr>
          <w:bCs/>
          <w:b/>
        </w:rPr>
        <w:t xml:space="preserve">Supply Chain Engagement:</w:t>
      </w:r>
      <w:r>
        <w:t xml:space="preserve"> </w:t>
      </w:r>
      <w:r>
        <w:t xml:space="preserve">Work closely with material suppliers to source lower-carbon alternatives or encourage suppliers to adopt renewable energy and efficient manufacturing processes for components.</w:t>
      </w:r>
    </w:p>
    <w:p>
      <w:pPr>
        <w:numPr>
          <w:ilvl w:val="0"/>
          <w:numId w:val="1019"/>
        </w:numPr>
        <w:pStyle w:val="Compact"/>
      </w:pPr>
      <w:r>
        <w:rPr>
          <w:bCs/>
          <w:b/>
        </w:rPr>
        <w:t xml:space="preserve">Deepen EoL Strategies:</w:t>
      </w:r>
      <w:r>
        <w:t xml:space="preserve"> </w:t>
      </w:r>
      <w:r>
        <w:t xml:space="preserve">Explore further opportunities for improving recyclability, repairability, and establishing robust take-back and refurbishment programs to maximize circularity impacts.</w:t>
      </w:r>
    </w:p>
    <w:p>
      <w:pPr>
        <w:numPr>
          <w:ilvl w:val="0"/>
          <w:numId w:val="1019"/>
        </w:numPr>
        <w:pStyle w:val="Compact"/>
      </w:pPr>
      <w:r>
        <w:rPr>
          <w:bCs/>
          <w:b/>
        </w:rPr>
        <w:t xml:space="preserve">Data Collection Enhancement:</w:t>
      </w:r>
      <w:r>
        <w:t xml:space="preserve"> </w:t>
      </w:r>
      <w:r>
        <w:t xml:space="preserve">Implement robust systems for collecting primary data across the entire value chain to improve the accuracy and defensibility of future PCF calculations. This includes collaborating with suppliers to gather their Scope 1, 2, and relevant Scope 3 emissions data.</w:t>
      </w:r>
    </w:p>
    <w:p>
      <w:pPr>
        <w:numPr>
          <w:ilvl w:val="0"/>
          <w:numId w:val="1019"/>
        </w:numPr>
        <w:pStyle w:val="Compact"/>
      </w:pPr>
      <w:r>
        <w:rPr>
          <w:bCs/>
          <w:b/>
        </w:rPr>
        <w:t xml:space="preserve">Embrace LSR Standard:</w:t>
      </w:r>
      <w:r>
        <w:t xml:space="preserve"> </w:t>
      </w:r>
      <w:r>
        <w:t xml:space="preserve">As the GHG Protocol LSR Standard becomes effective in 2027, develop mechanisms to track and report any land-related emissions or removals within the product\'s value chain, especially if biogenic materials are involved.</w:t>
      </w:r>
    </w:p>
    <w:p>
      <w:r>
        <w:pict>
          <v:rect style="width:0;height:1.5pt" o:hralign="center" o:hrstd="t" o:hr="t"/>
        </w:pict>
      </w:r>
    </w:p>
    <w:p>
      <w:pPr>
        <w:pStyle w:val="FirstParagraph"/>
      </w:pPr>
      <w:r>
        <w:t xml:space="preserve">Page [Page Number Placeholder] | 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quwrljhwtg</dc:title>
  <dc:creator/>
  <dc:description>High-detail Product Carbon Footprint (PCF) analysis report for product quwrljhwtg by moviznzovw, adhering to GHG Protocol standards and 2026 updates.</dc:description>
  <dc:language>en</dc:language>
  <cp:keywords/>
  <dcterms:created xsi:type="dcterms:W3CDTF">2026-07-15T06:34:25Z</dcterms:created>
  <dcterms:modified xsi:type="dcterms:W3CDTF">2026-07-15T06:34:25Z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