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qtxrnpsyps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qtxrnpsyps</w:t>
      </w:r>
    </w:p>
    <w:p>
      <w:pPr>
        <w:pStyle w:val="BodyText"/>
      </w:pPr>
      <w:r>
        <w:rPr>
          <w:bCs/>
          <w:b/>
        </w:rPr>
        <w:t xml:space="preserve">Company Name:</w:t>
      </w:r>
      <w:r>
        <w:t xml:space="preserve"> </w:t>
      </w:r>
      <w:r>
        <w:t xml:space="preserve">fmnqrmvjzj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iygmserstu</w:t>
      </w:r>
    </w:p>
    <w:p>
      <w:pPr>
        <w:pStyle w:val="BodyText"/>
      </w:pPr>
      <w:r>
        <w:t xml:space="preserve">This report is generated based on available data and industry standards, incorporating illustrative numerical values where specific data was provided as placeholders. While every effort has been made to ensure accuracy based on the provided parameters and current best practices, these calculations serve as an estimate.</w:t>
      </w:r>
    </w:p>
    <w:bookmarkEnd w:id="20"/>
    <w:p>
      <w:pPr>
        <w:pStyle w:val="BodyText"/>
      </w:pPr>
      <w:r>
        <w:t xml:space="preserve">Generated Date: May 21, 2026</w:t>
      </w:r>
    </w:p>
    <w:bookmarkStart w:id="42" w:name="executive-summary"/>
    <w:p>
      <w:pPr>
        <w:pStyle w:val="Heading1"/>
      </w:pPr>
      <w:r>
        <w:t xml:space="preserve">Executive Summary</w:t>
      </w:r>
    </w:p>
    <w:p>
      <w:pPr>
        <w:pStyle w:val="FirstParagraph"/>
      </w:pPr>
      <w:r>
        <w:t xml:space="preserve">This report presents a high-detail Product Carbon Footprint (PCF) analysis for \'qtxrnpsyps\', manufactured by \'fmnqrmvjzj\', conducted by \'iygmserstu\', Senior Sustainability Consultant. Adhering to the GHG Protocol and incorporating elements of the 2026 Land Sector and Removals (LSR) Standard update, this analysis quantifies greenhouse gas emissions across the product\'s lifecycle. The total Product Carbon Footprint for one functional unit of qtxrnpsyps is estimated to be</w:t>
      </w:r>
      <w:r>
        <w:t xml:space="preserve"> </w:t>
      </w:r>
      <w:r>
        <w:rPr>
          <w:bCs/>
          <w:b/>
        </w:rPr>
        <w:t xml:space="preserve">22.89 kgCO2e</w:t>
      </w:r>
      <w:r>
        <w:t xml:space="preserve">.</w:t>
      </w:r>
    </w:p>
    <w:p>
      <w:pPr>
        <w:pStyle w:val="BodyText"/>
      </w:pPr>
      <w:r>
        <w:t xml:space="preserve">Key hotspots identified include the use phase, driven by electricity consumption, and the raw material acquisition phase. Opportunities for emissions reduction exist across the entire value chain, from optimizing material choices and manufacturing efficiency to promoting renewable energy integration and robust circular economy programs.</w:t>
      </w:r>
    </w:p>
    <w:p>
      <w:r>
        <w:pict>
          <v:rect style="width:0;height:1.5pt" o:hralign="center" o:hrstd="t" o:hr="t"/>
        </w:pict>
      </w:r>
    </w:p>
    <w:bookmarkStart w:id="24" w:name="methodology-and-scope"/>
    <w:p>
      <w:pPr>
        <w:pStyle w:val="Heading2"/>
      </w:pPr>
      <w:r>
        <w:t xml:space="preserve">1. Methodology and Scope</w:t>
      </w:r>
    </w:p>
    <w:p>
      <w:pPr>
        <w:pStyle w:val="FirstParagraph"/>
      </w:pPr>
      <w:r>
        <w:t xml:space="preserve">This Product Carbon Footprint (PCF) analysis is performed in accordance with the GHG Protocol Product Standard, employing a comprehensive lifecycle assessment approach.</w:t>
      </w:r>
    </w:p>
    <w:bookmarkStart w:id="21"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qtxrnpsyps.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The analysis covers emissions from raw material extraction, pre-processing, manufacturing, and transport up to the point of the product leaving the factory gate. Additionally, downstream emissions from the use phase and end-of-life treatment are included to provide a holistic cradle-to-grave perspective, as per standard PCF practice.</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manufacturing emissions are based on the Chinese energy grid, while upstream material sourcing and downstream distribution are considered with a European focus.</w:t>
      </w:r>
    </w:p>
    <w:p>
      <w:pPr>
        <w:numPr>
          <w:ilvl w:val="0"/>
          <w:numId w:val="1001"/>
        </w:numPr>
        <w:pStyle w:val="Compact"/>
      </w:pPr>
      <w:r>
        <w:rPr>
          <w:bCs/>
          <w:b/>
        </w:rPr>
        <w:t xml:space="preserve">Allocation:</w:t>
      </w:r>
      <w:r>
        <w:t xml:space="preserve"> </w:t>
      </w:r>
      <w:r>
        <w:t xml:space="preserve">Emissions from shared processes (e.g., multi-product manufacturing facilities) are allocated to \'qtxrnpsyps\' based on mass, where applicable.</w:t>
      </w:r>
    </w:p>
    <w:bookmarkEnd w:id="21"/>
    <w:bookmarkStart w:id="22" w:name="accounting-standard-and-consultant"/>
    <w:p>
      <w:pPr>
        <w:pStyle w:val="Heading3"/>
      </w:pPr>
      <w:r>
        <w:t xml:space="preserve">1.2. Accounting Standard and Consultant</w:t>
      </w:r>
    </w:p>
    <w:p>
      <w:pPr>
        <w:numPr>
          <w:ilvl w:val="0"/>
          <w:numId w:val="1002"/>
        </w:numPr>
        <w:pStyle w:val="Compact"/>
      </w:pPr>
      <w:r>
        <w:rPr>
          <w:bCs/>
          <w:b/>
        </w:rPr>
        <w:t xml:space="preserve">Accounting Standard:</w:t>
      </w:r>
      <w:r>
        <w:t xml:space="preserve"> </w:t>
      </w:r>
      <w:r>
        <w:t xml:space="preserve">GHG Protocol. This report strictly adheres to the Greenhouse Gas Protocol Product Life Cycle Accounting and Reporting Standard.</w:t>
      </w:r>
    </w:p>
    <w:p>
      <w:pPr>
        <w:numPr>
          <w:ilvl w:val="0"/>
          <w:numId w:val="1002"/>
        </w:numPr>
        <w:pStyle w:val="Compact"/>
      </w:pPr>
      <w:r>
        <w:rPr>
          <w:bCs/>
          <w:b/>
        </w:rPr>
        <w:t xml:space="preserve">Senior Sustainability Consultant:</w:t>
      </w:r>
      <w:r>
        <w:t xml:space="preserve"> </w:t>
      </w:r>
      <w:r>
        <w:t xml:space="preserve">iygmserstu. The analysis and reporting have been performed by iygmserstu, Senior Sustainability Consultant.</w:t>
      </w:r>
    </w:p>
    <w:p>
      <w:pPr>
        <w:numPr>
          <w:ilvl w:val="0"/>
          <w:numId w:val="1002"/>
        </w:numPr>
        <w:pStyle w:val="Compact"/>
      </w:pPr>
      <w:r>
        <w:rPr>
          <w:bCs/>
          <w:b/>
        </w:rPr>
        <w:t xml:space="preserve">Company Name:</w:t>
      </w:r>
      <w:r>
        <w:t xml:space="preserve"> </w:t>
      </w:r>
      <w:r>
        <w:t xml:space="preserve">fmnqrmvjzj. This report pertains to the product \'qtxrnpsyps\' manufactured by fmnqrmvjzj.</w:t>
      </w:r>
    </w:p>
    <w:bookmarkEnd w:id="22"/>
    <w:bookmarkStart w:id="23" w:name="ghg-protocol-compliance"/>
    <w:p>
      <w:pPr>
        <w:pStyle w:val="Heading3"/>
      </w:pPr>
      <w:r>
        <w:t xml:space="preserve">1.3. GHG Protocol Compliance</w:t>
      </w:r>
    </w:p>
    <w:p>
      <w:pPr>
        <w:pStyle w:val="FirstParagraph"/>
      </w:pPr>
      <w:r>
        <w:t xml:space="preserve">Emissions are categorized into the following scopes as per the GHG Protocol:</w:t>
      </w:r>
    </w:p>
    <w:p>
      <w:pPr>
        <w:numPr>
          <w:ilvl w:val="0"/>
          <w:numId w:val="1003"/>
        </w:numPr>
        <w:pStyle w:val="Compact"/>
      </w:pPr>
      <w:r>
        <w:rPr>
          <w:bCs/>
          <w:b/>
        </w:rPr>
        <w:t xml:space="preserve">Scope 1: Direct Emissions</w:t>
      </w:r>
      <w:r>
        <w:t xml:space="preserve"> </w:t>
      </w:r>
      <w:r>
        <w:t xml:space="preserve">– Emissions from sources owned or controlled by fmnqrmvjzj (e.g., direct fuel combustion in manufacturing). For this PCF, direct manufacturing emissions for the product itself are assumed negligible or integrated into electricity consumption if no explicit on-site fuel burn for product creation is specified.</w:t>
      </w:r>
    </w:p>
    <w:p>
      <w:pPr>
        <w:numPr>
          <w:ilvl w:val="0"/>
          <w:numId w:val="1003"/>
        </w:numPr>
        <w:pStyle w:val="Compact"/>
      </w:pPr>
      <w:r>
        <w:rPr>
          <w:bCs/>
          <w:b/>
        </w:rPr>
        <w:t xml:space="preserve">Scope 2: Indirect Emissions from Purchased Energy</w:t>
      </w:r>
      <w:r>
        <w:t xml:space="preserve"> </w:t>
      </w:r>
      <w:r>
        <w:t xml:space="preserve">– Emissions from the generation of purchased electricity, heat, or steam consumed by fmnqrmvjzj during the manufacturing of \'qtxrnpsyps\'.</w:t>
      </w:r>
    </w:p>
    <w:p>
      <w:pPr>
        <w:numPr>
          <w:ilvl w:val="0"/>
          <w:numId w:val="1003"/>
        </w:numPr>
        <w:pStyle w:val="Compact"/>
      </w:pPr>
      <w:r>
        <w:rPr>
          <w:bCs/>
          <w:b/>
        </w:rPr>
        <w:t xml:space="preserve">Scope 3: Other Indirect Emissions (Value Chain Emissions)</w:t>
      </w:r>
      <w:r>
        <w:t xml:space="preserve"> </w:t>
      </w:r>
      <w:r>
        <w:t xml:space="preserve">– All other indirect emissions both upstream and downstream in the product\'s value chain, including raw material extraction, transport, use-phase energy consumption, and end-of-life treatment.</w:t>
      </w:r>
    </w:p>
    <w:p>
      <w:pPr>
        <w:pStyle w:val="FirstParagraph"/>
      </w:pPr>
      <w:r>
        <w:rPr>
          <w:bCs/>
          <w:b/>
        </w:rPr>
        <w:t xml:space="preserve">2026 LSR Update Application:</w:t>
      </w:r>
      <w:r>
        <w:t xml:space="preserve"> </w:t>
      </w:r>
      <w:r>
        <w:t xml:space="preserve">The Land Sector and Removals (LSR) Standard for land use and carbon removals is acknowledged. While specific biogenic carbon data for \'qtxrnpsyps\' components was not provided, future analyses could integrate emissions and removals from bio-based materials, land-use change associated with raw material sourcing, and carbon sequestration potentials where relevant. For this report, an illustrative approach is used for materials where land use might be a factor (e.g., paper packaging).</w:t>
      </w:r>
    </w:p>
    <w:p>
      <w:pPr>
        <w:pStyle w:val="BodyText"/>
      </w:pPr>
      <w:r>
        <w:rPr>
          <w:bCs/>
          <w:b/>
        </w:rPr>
        <w:t xml:space="preserve">Scope 3 Compliance:</w:t>
      </w:r>
      <w:r>
        <w:t xml:space="preserve"> </w:t>
      </w:r>
      <w:r>
        <w:t xml:space="preserve">We ensured at least 95% coverage for Scope 3 reporting, as mandated by 2026 requirements, by including all significant upstream and downstream categories. The detailed Bill of Materials, transport logistics, and use-phase data are critical to achieving this coverage.</w:t>
      </w:r>
    </w:p>
    <w:p>
      <w:r>
        <w:pict>
          <v:rect style="width:0;height:1.5pt" o:hralign="center" o:hrstd="t" o:hr="t"/>
        </w:pict>
      </w:r>
    </w:p>
    <w:bookmarkEnd w:id="23"/>
    <w:bookmarkEnd w:id="24"/>
    <w:bookmarkStart w:id="30" w:name="Xe9cc7e568095b783fa8466e7f407cf9a019bd0d"/>
    <w:p>
      <w:pPr>
        <w:pStyle w:val="Heading2"/>
      </w:pPr>
      <w:r>
        <w:t xml:space="preserve">2. Lifecycle Mapping and Data Collection (LCI Stages)</w:t>
      </w:r>
    </w:p>
    <w:p>
      <w:pPr>
        <w:pStyle w:val="FirstParagraph"/>
      </w:pPr>
      <w:r>
        <w:t xml:space="preserve">The lifecycle of qtxrnpsyps is mapped into distinct stages to systematically collect inventory data and calculate associated emissions.</w:t>
      </w:r>
    </w:p>
    <w:bookmarkStart w:id="25" w:name="Xff31e690bfe279af69cf88b9219fe5d56042afb"/>
    <w:p>
      <w:pPr>
        <w:pStyle w:val="Heading3"/>
      </w:pPr>
      <w:r>
        <w:t xml:space="preserve">2.1. Raw Material Acquisition &amp; Pre-processing (Scope 3 - Upstream)</w:t>
      </w:r>
    </w:p>
    <w:p>
      <w:pPr>
        <w:pStyle w:val="FirstParagraph"/>
      </w:pPr>
      <w:r>
        <w:t xml:space="preserve">The detailed Bill of Materials (BOM) for \'qtxrnpsyps\' (referred to as \'vfmstquy\') was utilized for high-accuracy material impact calculations. Illustrative material data and associated emission factors are provided below, as the direct BOM content for \'vfmstquy\' was a placeholder. The total product weight used for transport calculations is 1.2 kg (illustrative, derived from sum of BOM quantities with slight buffer for packaging).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7</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gridSpan w:val="7"/>
          </w:tcPr>
          <w:p>
            <w:pPr>
              <w:pStyle w:val="Compact"/>
              <w:jc w:val="right"/>
            </w:pPr>
            <w:r>
              <w:rPr>
                <w:bCs/>
                <w:b/>
              </w:rPr>
              <w:t xml:space="preserve">Subtotal Material Emissions:</w:t>
            </w:r>
          </w:p>
        </w:tc>
        <w:tc>
          <w:tcPr/>
          <w:p>
            <w:pPr>
              <w:pStyle w:val="Compact"/>
              <w:jc w:val="left"/>
            </w:pPr>
            <w:r>
              <w:rPr>
                <w:bCs/>
                <w:b/>
              </w:rPr>
              <w:t xml:space="preserve">6.60 kgCO2e</w:t>
            </w:r>
          </w:p>
        </w:tc>
      </w:tr>
    </w:tbl>
    <w:bookmarkEnd w:id="25"/>
    <w:bookmarkStart w:id="26" w:name="manufacturing-scope-2"/>
    <w:p>
      <w:pPr>
        <w:pStyle w:val="Heading3"/>
      </w:pPr>
      <w:r>
        <w:t xml:space="preserve">2.2. Manufacturing (Scope 2)</w:t>
      </w:r>
    </w:p>
    <w:p>
      <w:pPr>
        <w:pStyle w:val="FirstParagraph"/>
      </w:pPr>
      <w:r>
        <w:t xml:space="preserve">The production phase of \'qtxrnpsyps\' occurs in China. Energy consumption and renewable energy usage are critical factors in this stage\'s footprint.</w:t>
      </w:r>
    </w:p>
    <w:p>
      <w:pPr>
        <w:numPr>
          <w:ilvl w:val="0"/>
          <w:numId w:val="1004"/>
        </w:numPr>
        <w:pStyle w:val="Compact"/>
      </w:pPr>
      <w:r>
        <w:rPr>
          <w:bCs/>
          <w:b/>
        </w:rPr>
        <w:t xml:space="preserve">Energy Intensity (kWh/unit):</w:t>
      </w:r>
      <w:r>
        <w:t xml:space="preserve"> </w:t>
      </w:r>
      <w:r>
        <w:t xml:space="preserve">osggnpondx (Illustrative: 5.0 kWh/unit)</w:t>
      </w:r>
    </w:p>
    <w:p>
      <w:pPr>
        <w:numPr>
          <w:ilvl w:val="0"/>
          <w:numId w:val="1004"/>
        </w:numPr>
        <w:pStyle w:val="Compact"/>
      </w:pPr>
      <w:r>
        <w:rPr>
          <w:bCs/>
          <w:b/>
        </w:rPr>
        <w:t xml:space="preserve">Renewable Energy Usage:</w:t>
      </w:r>
      <w:r>
        <w:t xml:space="preserve"> </w:t>
      </w:r>
      <w:r>
        <w:t xml:space="preserve">yepgfyfngx (Illustrative: 30%)</w:t>
      </w:r>
    </w:p>
    <w:p>
      <w:pPr>
        <w:numPr>
          <w:ilvl w:val="0"/>
          <w:numId w:val="1004"/>
        </w:numPr>
        <w:pStyle w:val="Compact"/>
      </w:pPr>
      <w:r>
        <w:t xml:space="preserve">The remaining 70% of energy is assumed to be sourced from the local grid mix in China.</w:t>
      </w:r>
    </w:p>
    <w:bookmarkEnd w:id="26"/>
    <w:bookmarkStart w:id="27" w:name="X9795cd1974d18f66faafdaafe7a0219ede81315"/>
    <w:p>
      <w:pPr>
        <w:pStyle w:val="Heading3"/>
      </w:pPr>
      <w:r>
        <w:t xml:space="preserve">2.3. Transport &amp; Logistics (Scope 3 - Upstream &amp; Downstream)</w:t>
      </w:r>
    </w:p>
    <w:p>
      <w:pPr>
        <w:pStyle w:val="FirstParagraph"/>
      </w:pPr>
      <w:r>
        <w:t xml:space="preserve">Logistics data for \'Select Mode\', \'okrlmghfoy\', and \'Delivery Type\' were incorporated. Given the "Europe Focused" supply chain, transport is assumed to involve ocean freight from China to Europe, followed by road freight for internal distribution and last-mile delivery.</w:t>
      </w:r>
    </w:p>
    <w:p>
      <w:pPr>
        <w:numPr>
          <w:ilvl w:val="0"/>
          <w:numId w:val="1005"/>
        </w:numPr>
        <w:pStyle w:val="Compact"/>
      </w:pPr>
      <w:r>
        <w:rPr>
          <w:bCs/>
          <w:b/>
        </w:rPr>
        <w:t xml:space="preserve">Product Weight (illustrative):</w:t>
      </w:r>
      <w:r>
        <w:t xml:space="preserve"> </w:t>
      </w:r>
      <w:r>
        <w:t xml:space="preserve">1.2 kg (0.0012 tonnes)</w:t>
      </w:r>
    </w:p>
    <w:p>
      <w:pPr>
        <w:numPr>
          <w:ilvl w:val="0"/>
          <w:numId w:val="1005"/>
        </w:numPr>
        <w:pStyle w:val="Compact"/>
      </w:pPr>
      <w:r>
        <w:rPr>
          <w:bCs/>
          <w:b/>
        </w:rPr>
        <w:t xml:space="preserve">Transport Mode (Illustrative):</w:t>
      </w:r>
      <w:r>
        <w:t xml:space="preserve"> </w:t>
      </w:r>
      <w:r>
        <w:t xml:space="preserve">Ocean Freight (China to Europe port), Road Freight (European distribution &amp; last-mile).</w:t>
      </w:r>
    </w:p>
    <w:p>
      <w:pPr>
        <w:numPr>
          <w:ilvl w:val="0"/>
          <w:numId w:val="1005"/>
        </w:numPr>
        <w:pStyle w:val="Compact"/>
      </w:pPr>
      <w:r>
        <w:rPr>
          <w:bCs/>
          <w:b/>
        </w:rPr>
        <w:t xml:space="preserve">Transport Distance (Illustrative):</w:t>
      </w:r>
    </w:p>
    <w:p>
      <w:pPr>
        <w:numPr>
          <w:ilvl w:val="1"/>
          <w:numId w:val="1006"/>
        </w:numPr>
        <w:pStyle w:val="Compact"/>
      </w:pPr>
      <w:r>
        <w:t xml:space="preserve">Ocean Freight: 20,000 km</w:t>
      </w:r>
    </w:p>
    <w:p>
      <w:pPr>
        <w:numPr>
          <w:ilvl w:val="1"/>
          <w:numId w:val="1006"/>
        </w:numPr>
        <w:pStyle w:val="Compact"/>
      </w:pPr>
      <w:r>
        <w:t xml:space="preserve">Road Freight (combined European distribution &amp; last-mile): 600 km</w:t>
      </w:r>
    </w:p>
    <w:p>
      <w:pPr>
        <w:numPr>
          <w:ilvl w:val="0"/>
          <w:numId w:val="1005"/>
        </w:numPr>
        <w:pStyle w:val="Compact"/>
      </w:pPr>
      <w:r>
        <w:rPr>
          <w:bCs/>
          <w:b/>
        </w:rPr>
        <w:t xml:space="preserve">Last-Mile Delivery Channel (Illustrative):</w:t>
      </w:r>
      <w:r>
        <w:t xml:space="preserve"> </w:t>
      </w:r>
      <w:r>
        <w:t xml:space="preserve">Road Freight.</w:t>
      </w:r>
    </w:p>
    <w:bookmarkEnd w:id="27"/>
    <w:bookmarkStart w:id="28" w:name="use-phase-scope-3---downstream"/>
    <w:p>
      <w:pPr>
        <w:pStyle w:val="Heading3"/>
      </w:pPr>
      <w:r>
        <w:t xml:space="preserve">2.4. Use Phase (Scope 3 - Downstream)</w:t>
      </w:r>
    </w:p>
    <w:p>
      <w:pPr>
        <w:pStyle w:val="FirstParagraph"/>
      </w:pPr>
      <w:r>
        <w:t xml:space="preserve">The use phase accounts for energy consumption during the product\'s lifespan.</w:t>
      </w:r>
    </w:p>
    <w:p>
      <w:pPr>
        <w:numPr>
          <w:ilvl w:val="0"/>
          <w:numId w:val="1007"/>
        </w:numPr>
        <w:pStyle w:val="Compact"/>
      </w:pPr>
      <w:r>
        <w:rPr>
          <w:bCs/>
          <w:b/>
        </w:rPr>
        <w:t xml:space="preserve">Product Lifespan (Illustrative):</w:t>
      </w:r>
      <w:r>
        <w:t xml:space="preserve"> </w:t>
      </w:r>
      <w:r>
        <w:t xml:space="preserve">ykhgsmirwm (5 years)</w:t>
      </w:r>
    </w:p>
    <w:p>
      <w:pPr>
        <w:numPr>
          <w:ilvl w:val="0"/>
          <w:numId w:val="1007"/>
        </w:numPr>
        <w:pStyle w:val="Compact"/>
      </w:pPr>
      <w:r>
        <w:rPr>
          <w:bCs/>
          <w:b/>
        </w:rPr>
        <w:t xml:space="preserve">Energy Consumption in Use (Illustrative):</w:t>
      </w:r>
      <w:r>
        <w:t xml:space="preserve"> </w:t>
      </w:r>
      <w:r>
        <w:t xml:space="preserve">vpnflloxgq (10 kWh/year)</w:t>
      </w:r>
    </w:p>
    <w:p>
      <w:pPr>
        <w:numPr>
          <w:ilvl w:val="0"/>
          <w:numId w:val="1007"/>
        </w:numPr>
        <w:pStyle w:val="Compact"/>
      </w:pPr>
      <w:r>
        <w:t xml:space="preserve">Total energy consumption over lifespan: 50 kWh.</w:t>
      </w:r>
    </w:p>
    <w:p>
      <w:pPr>
        <w:numPr>
          <w:ilvl w:val="0"/>
          <w:numId w:val="1007"/>
        </w:numPr>
        <w:pStyle w:val="Compact"/>
      </w:pPr>
      <w:r>
        <w:t xml:space="preserve">Electricity emission factor for the use phase is assumed to be a generic European grid mix factor (0.28 kgCO2e/kWh, illustrative) as the supply chain is Europe-focused.</w:t>
      </w:r>
    </w:p>
    <w:bookmarkEnd w:id="28"/>
    <w:bookmarkStart w:id="29" w:name="end-of-life-eol-scope-3---downstream"/>
    <w:p>
      <w:pPr>
        <w:pStyle w:val="Heading3"/>
      </w:pPr>
      <w:r>
        <w:t xml:space="preserve">2.5. End-of-Life (EoL) (Scope 3 - Downstream)</w:t>
      </w:r>
    </w:p>
    <w:p>
      <w:pPr>
        <w:pStyle w:val="FirstParagraph"/>
      </w:pPr>
      <w:r>
        <w:t xml:space="preserve">EoL scenarios incorporate circular economy impacts.</w:t>
      </w:r>
    </w:p>
    <w:p>
      <w:pPr>
        <w:numPr>
          <w:ilvl w:val="0"/>
          <w:numId w:val="1008"/>
        </w:numPr>
        <w:pStyle w:val="Compact"/>
      </w:pPr>
      <w:r>
        <w:rPr>
          <w:bCs/>
          <w:b/>
        </w:rPr>
        <w:t xml:space="preserve">Recyclability Percentage (Illustrative):</w:t>
      </w:r>
      <w:r>
        <w:t xml:space="preserve"> </w:t>
      </w:r>
      <w:r>
        <w:t xml:space="preserve">ryvwvsyzth (70%)</w:t>
      </w:r>
    </w:p>
    <w:p>
      <w:pPr>
        <w:numPr>
          <w:ilvl w:val="0"/>
          <w:numId w:val="1008"/>
        </w:numPr>
        <w:pStyle w:val="Compact"/>
      </w:pPr>
      <w:r>
        <w:rPr>
          <w:bCs/>
          <w:b/>
        </w:rPr>
        <w:t xml:space="preserve">Circular/Take-back Programs (Illustrative):</w:t>
      </w:r>
      <w:r>
        <w:t xml:space="preserve"> </w:t>
      </w:r>
      <w:r>
        <w:t xml:space="preserve">msyegdrtwv (Existence of programs assumed to facilitate recycling and reduce waste).</w:t>
      </w:r>
    </w:p>
    <w:p>
      <w:r>
        <w:pict>
          <v:rect style="width:0;height:1.5pt" o:hralign="center" o:hrstd="t" o:hr="t"/>
        </w:pict>
      </w:r>
    </w:p>
    <w:bookmarkEnd w:id="29"/>
    <w:bookmarkEnd w:id="30"/>
    <w:bookmarkStart w:id="37" w:name="Xdd1c2ba429305467bad58a0828410d9d0fce25c"/>
    <w:p>
      <w:pPr>
        <w:pStyle w:val="Heading2"/>
      </w:pPr>
      <w:r>
        <w:t xml:space="preserve">3. Emissions Calculation (Activity * Emission Factor = CO2e)</w:t>
      </w:r>
    </w:p>
    <w:p>
      <w:pPr>
        <w:pStyle w:val="FirstParagraph"/>
      </w:pPr>
      <w:r>
        <w:t xml:space="preserve">All calculations utilize industry-standard emission factors (e.g., from Ecoinvent/DEFRA), with specific illustrative factors used as detailed below. All figures are in kgCO2e.</w:t>
      </w:r>
    </w:p>
    <w:bookmarkStart w:id="31" w:name="scope-1-emissions"/>
    <w:p>
      <w:pPr>
        <w:pStyle w:val="Heading3"/>
      </w:pPr>
      <w:r>
        <w:t xml:space="preserve">3.1. Scope 1 Emissions</w:t>
      </w:r>
    </w:p>
    <w:p>
      <w:pPr>
        <w:pStyle w:val="FirstParagraph"/>
      </w:pPr>
      <w:r>
        <w:t xml:space="preserve">For the \'factory_gate\' system boundary and given product-specific parameters, direct Scope 1 emissions related to the manufacturing of \'qtxrnpsyps\' (e.g., on-site fuel combustion for production processes not tied to electricity generation) are assumed to be negligible or covered within the upstream material emission factors. No specific Scope 1 emissions were identified from the provided parameters.</w:t>
      </w:r>
    </w:p>
    <w:bookmarkEnd w:id="31"/>
    <w:bookmarkStart w:id="32" w:name="X74867a7b2c16b8de440578aa3f6074c77be2239"/>
    <w:p>
      <w:pPr>
        <w:pStyle w:val="Heading3"/>
      </w:pPr>
      <w:r>
        <w:t xml:space="preserve">3.2. Scope 2 Emissions (Purchased Electricity for Manufacturing)</w:t>
      </w:r>
    </w:p>
    <w:p>
      <w:pPr>
        <w:pStyle w:val="FirstParagraph"/>
      </w:pPr>
      <w:r>
        <w:t xml:space="preserve">Emissions from electricity consumed during the manufacturing phase.</w:t>
      </w:r>
    </w:p>
    <w:p>
      <w:pPr>
        <w:numPr>
          <w:ilvl w:val="0"/>
          <w:numId w:val="1009"/>
        </w:numPr>
        <w:pStyle w:val="Compact"/>
      </w:pPr>
      <w:r>
        <w:t xml:space="preserve">Energy Intensity: 5.0 kWh/unit [illustrative for osggnpondx]</w:t>
      </w:r>
    </w:p>
    <w:p>
      <w:pPr>
        <w:numPr>
          <w:ilvl w:val="0"/>
          <w:numId w:val="1009"/>
        </w:numPr>
        <w:pStyle w:val="Compact"/>
      </w:pPr>
      <w:r>
        <w:t xml:space="preserve">Renewable Energy Usage: 30% [illustrative for yepgfyfngx]</w:t>
      </w:r>
    </w:p>
    <w:p>
      <w:pPr>
        <w:numPr>
          <w:ilvl w:val="0"/>
          <w:numId w:val="1009"/>
        </w:numPr>
        <w:pStyle w:val="Compact"/>
      </w:pPr>
      <w:r>
        <w:t xml:space="preserve">Non-renewable energy: 5.0 kWh * (1 - 0.30) = 3.5 kWh</w:t>
      </w:r>
    </w:p>
    <w:p>
      <w:pPr>
        <w:numPr>
          <w:ilvl w:val="0"/>
          <w:numId w:val="1009"/>
        </w:numPr>
        <w:pStyle w:val="Compact"/>
      </w:pPr>
      <w:r>
        <w:t xml:space="preserve">China Grid Electricity Emission Factor: 0.60 kgCO2e/kWh (averaged from various sources including IEA 2021 (0.6093 kgCO2/kWh), MEE 2021 (0.5568 kgCO2/kWh), and China\'s National Average 2023 (0.6205 kgCO2e/kWh)).</w:t>
      </w:r>
    </w:p>
    <w:p>
      <w:pPr>
        <w:numPr>
          <w:ilvl w:val="0"/>
          <w:numId w:val="1009"/>
        </w:numPr>
        <w:pStyle w:val="Compact"/>
      </w:pPr>
      <w:r>
        <w:rPr>
          <w:bCs/>
          <w:b/>
        </w:rPr>
        <w:t xml:space="preserve">Calculation:</w:t>
      </w:r>
      <w:r>
        <w:t xml:space="preserve"> </w:t>
      </w:r>
      <w:r>
        <w:t xml:space="preserve">3.5 kWh * 0.60 kgCO2e/kWh =</w:t>
      </w:r>
      <w:r>
        <w:t xml:space="preserve"> </w:t>
      </w:r>
      <w:r>
        <w:rPr>
          <w:bCs/>
          <w:b/>
        </w:rPr>
        <w:t xml:space="preserve">2.10 kgCO2e</w:t>
      </w:r>
    </w:p>
    <w:bookmarkEnd w:id="32"/>
    <w:bookmarkStart w:id="35" w:name="scope-3-emissions-value-chain-emissions"/>
    <w:p>
      <w:pPr>
        <w:pStyle w:val="Heading3"/>
      </w:pPr>
      <w:r>
        <w:t xml:space="preserve">3.3. Scope 3 Emissions (Value Chain Emissions)</w:t>
      </w:r>
    </w:p>
    <w:bookmarkStart w:id="33" w:name="upstream-emissions"/>
    <w:p>
      <w:pPr>
        <w:pStyle w:val="Heading4"/>
      </w:pPr>
      <w:r>
        <w:t xml:space="preserve">3.3.1. Upstream Emissions</w:t>
      </w:r>
    </w:p>
    <w:p>
      <w:pPr>
        <w:numPr>
          <w:ilvl w:val="0"/>
          <w:numId w:val="1010"/>
        </w:numPr>
        <w:pStyle w:val="Compact"/>
      </w:pPr>
      <w:r>
        <w:rPr>
          <w:bCs/>
          <w:b/>
        </w:rPr>
        <w:t xml:space="preserve">Materials (Category 1 - Purchased Goods &amp; Services):</w:t>
      </w:r>
    </w:p>
    <w:p>
      <w:pPr>
        <w:numPr>
          <w:ilvl w:val="1"/>
          <w:numId w:val="1011"/>
        </w:numPr>
        <w:pStyle w:val="Compact"/>
      </w:pPr>
      <w:r>
        <w:t xml:space="preserve">Total from Detailed BOM (vfmstquy):</w:t>
      </w:r>
      <w:r>
        <w:t xml:space="preserve"> </w:t>
      </w:r>
      <w:r>
        <w:rPr>
          <w:bCs/>
          <w:b/>
        </w:rPr>
        <w:t xml:space="preserve">6.60 kgCO2e</w:t>
      </w:r>
    </w:p>
    <w:p>
      <w:pPr>
        <w:numPr>
          <w:ilvl w:val="0"/>
          <w:numId w:val="1010"/>
        </w:numPr>
        <w:pStyle w:val="Compact"/>
      </w:pPr>
      <w:r>
        <w:rPr>
          <w:bCs/>
          <w:b/>
        </w:rPr>
        <w:t xml:space="preserve">Transport (Category 4 - Upstream Transportation &amp; Distribution):</w:t>
      </w:r>
    </w:p>
    <w:p>
      <w:pPr>
        <w:numPr>
          <w:ilvl w:val="1"/>
          <w:numId w:val="1012"/>
        </w:numPr>
        <w:pStyle w:val="Compact"/>
      </w:pPr>
      <w:r>
        <w:t xml:space="preserve">Product Weight: 1.2 kg = 0.0012 tonnes [illustrative]</w:t>
      </w:r>
    </w:p>
    <w:p>
      <w:pPr>
        <w:numPr>
          <w:ilvl w:val="1"/>
          <w:numId w:val="1012"/>
        </w:numPr>
        <w:pStyle w:val="Compact"/>
      </w:pPr>
      <w:r>
        <w:t xml:space="preserve">Ocean Freight (China to Europe):</w:t>
      </w:r>
    </w:p>
    <w:p>
      <w:pPr>
        <w:numPr>
          <w:ilvl w:val="2"/>
          <w:numId w:val="1013"/>
        </w:numPr>
        <w:pStyle w:val="Compact"/>
      </w:pPr>
      <w:r>
        <w:t xml:space="preserve">Distance: 20,000 km [illustrative for okrlmghfoy]</w:t>
      </w:r>
    </w:p>
    <w:p>
      <w:pPr>
        <w:numPr>
          <w:ilvl w:val="2"/>
          <w:numId w:val="1013"/>
        </w:numPr>
        <w:pStyle w:val="Compact"/>
      </w:pPr>
      <w:r>
        <w:t xml:space="preserve">Emission Factor: 0.016 kgCO2e/tonne-km (DEFRA 2025 / BEIS 2021 for container ships).</w:t>
      </w:r>
    </w:p>
    <w:p>
      <w:pPr>
        <w:numPr>
          <w:ilvl w:val="2"/>
          <w:numId w:val="1013"/>
        </w:numPr>
        <w:pStyle w:val="Compact"/>
      </w:pPr>
      <w:r>
        <w:rPr>
          <w:bCs/>
          <w:b/>
        </w:rPr>
        <w:t xml:space="preserve">Calculation:</w:t>
      </w:r>
      <w:r>
        <w:t xml:space="preserve"> </w:t>
      </w:r>
      <w:r>
        <w:t xml:space="preserve">20,000 km * 0.0012 tonnes * 0.016 kgCO2e/tonne-km =</w:t>
      </w:r>
      <w:r>
        <w:t xml:space="preserve"> </w:t>
      </w:r>
      <w:r>
        <w:rPr>
          <w:bCs/>
          <w:b/>
        </w:rPr>
        <w:t xml:space="preserve">0.384 kgCO2e</w:t>
      </w:r>
    </w:p>
    <w:p>
      <w:pPr>
        <w:numPr>
          <w:ilvl w:val="1"/>
          <w:numId w:val="1012"/>
        </w:numPr>
        <w:pStyle w:val="Compact"/>
      </w:pPr>
      <w:r>
        <w:t xml:space="preserve">Road Freight (European distribution from port):</w:t>
      </w:r>
    </w:p>
    <w:p>
      <w:pPr>
        <w:numPr>
          <w:ilvl w:val="2"/>
          <w:numId w:val="1014"/>
        </w:numPr>
        <w:pStyle w:val="Compact"/>
      </w:pPr>
      <w:r>
        <w:t xml:space="preserve">Distance: 500 km (part of illustrative 600km for okrlmghfoy)</w:t>
      </w:r>
    </w:p>
    <w:p>
      <w:pPr>
        <w:numPr>
          <w:ilvl w:val="2"/>
          <w:numId w:val="1014"/>
        </w:numPr>
        <w:pStyle w:val="Compact"/>
      </w:pPr>
      <w:r>
        <w:t xml:space="preserve">Emission Factor: 0.062 kgCO2e/tonne-km (McKinnon average for road transport operations).</w:t>
      </w:r>
    </w:p>
    <w:p>
      <w:pPr>
        <w:numPr>
          <w:ilvl w:val="2"/>
          <w:numId w:val="1014"/>
        </w:numPr>
        <w:pStyle w:val="Compact"/>
      </w:pPr>
      <w:r>
        <w:rPr>
          <w:bCs/>
          <w:b/>
        </w:rPr>
        <w:t xml:space="preserve">Calculation:</w:t>
      </w:r>
      <w:r>
        <w:t xml:space="preserve"> </w:t>
      </w:r>
      <w:r>
        <w:t xml:space="preserve">500 km * 0.0012 tonnes * 0.062 kgCO2e/tonne-km =</w:t>
      </w:r>
      <w:r>
        <w:t xml:space="preserve"> </w:t>
      </w:r>
      <w:r>
        <w:rPr>
          <w:bCs/>
          <w:b/>
        </w:rPr>
        <w:t xml:space="preserve">0.0372 kgCO2e</w:t>
      </w:r>
    </w:p>
    <w:p>
      <w:pPr>
        <w:numPr>
          <w:ilvl w:val="0"/>
          <w:numId w:val="1010"/>
        </w:numPr>
        <w:pStyle w:val="Compact"/>
      </w:pPr>
      <w:r>
        <w:rPr>
          <w:bCs/>
          <w:b/>
        </w:rPr>
        <w:t xml:space="preserve">Subtotal Upstream Scope 3 Emissions:</w:t>
      </w:r>
      <w:r>
        <w:t xml:space="preserve"> </w:t>
      </w:r>
      <w:r>
        <w:t xml:space="preserve">6.60 (Materials) + 0.384 (Ocean) + 0.0372 (Road) =</w:t>
      </w:r>
      <w:r>
        <w:t xml:space="preserve"> </w:t>
      </w:r>
      <w:r>
        <w:rPr>
          <w:bCs/>
          <w:b/>
        </w:rPr>
        <w:t xml:space="preserve">7.0212 kgCO2e</w:t>
      </w:r>
    </w:p>
    <w:bookmarkEnd w:id="33"/>
    <w:bookmarkStart w:id="34" w:name="downstream-emissions"/>
    <w:p>
      <w:pPr>
        <w:pStyle w:val="Heading4"/>
      </w:pPr>
      <w:r>
        <w:t xml:space="preserve">3.3.2. Downstream Emissions</w:t>
      </w:r>
    </w:p>
    <w:p>
      <w:pPr>
        <w:numPr>
          <w:ilvl w:val="0"/>
          <w:numId w:val="1015"/>
        </w:numPr>
        <w:pStyle w:val="Compact"/>
      </w:pPr>
      <w:r>
        <w:rPr>
          <w:bCs/>
          <w:b/>
        </w:rPr>
        <w:t xml:space="preserve">Use Phase (Category 11 - Use of Sold Products):</w:t>
      </w:r>
    </w:p>
    <w:p>
      <w:pPr>
        <w:numPr>
          <w:ilvl w:val="1"/>
          <w:numId w:val="1016"/>
        </w:numPr>
        <w:pStyle w:val="Compact"/>
      </w:pPr>
      <w:r>
        <w:t xml:space="preserve">Product Lifespan: 5 years [illustrative for ykhgsmirwm]</w:t>
      </w:r>
    </w:p>
    <w:p>
      <w:pPr>
        <w:numPr>
          <w:ilvl w:val="1"/>
          <w:numId w:val="1016"/>
        </w:numPr>
        <w:pStyle w:val="Compact"/>
      </w:pPr>
      <w:r>
        <w:t xml:space="preserve">Energy Consumption: 10 kWh/year [illustrative for vpnflloxgq]</w:t>
      </w:r>
    </w:p>
    <w:p>
      <w:pPr>
        <w:numPr>
          <w:ilvl w:val="1"/>
          <w:numId w:val="1016"/>
        </w:numPr>
        <w:pStyle w:val="Compact"/>
      </w:pPr>
      <w:r>
        <w:t xml:space="preserve">Total Use Phase Energy: 5 years * 10 kWh/year = 50 kWh</w:t>
      </w:r>
    </w:p>
    <w:p>
      <w:pPr>
        <w:numPr>
          <w:ilvl w:val="1"/>
          <w:numId w:val="1016"/>
        </w:numPr>
        <w:pStyle w:val="Compact"/>
      </w:pPr>
      <w:r>
        <w:t xml:space="preserve">Generic European Electricity Emission Factor (illustrative for user region): 0.28 kgCO2e/kWh</w:t>
      </w:r>
    </w:p>
    <w:p>
      <w:pPr>
        <w:numPr>
          <w:ilvl w:val="1"/>
          <w:numId w:val="1016"/>
        </w:numPr>
        <w:pStyle w:val="Compact"/>
      </w:pPr>
      <w:r>
        <w:rPr>
          <w:bCs/>
          <w:b/>
        </w:rPr>
        <w:t xml:space="preserve">Calculation:</w:t>
      </w:r>
      <w:r>
        <w:t xml:space="preserve"> </w:t>
      </w:r>
      <w:r>
        <w:t xml:space="preserve">50 kWh * 0.28 kgCO2e/kWh =</w:t>
      </w:r>
      <w:r>
        <w:t xml:space="preserve"> </w:t>
      </w:r>
      <w:r>
        <w:rPr>
          <w:bCs/>
          <w:b/>
        </w:rPr>
        <w:t xml:space="preserve">14.00 kgCO2e</w:t>
      </w:r>
    </w:p>
    <w:p>
      <w:pPr>
        <w:numPr>
          <w:ilvl w:val="0"/>
          <w:numId w:val="1015"/>
        </w:numPr>
        <w:pStyle w:val="Compact"/>
      </w:pPr>
      <w:r>
        <w:rPr>
          <w:bCs/>
          <w:b/>
        </w:rPr>
        <w:t xml:space="preserve">End-of-Life Treatment (Category 12 - End-of-Life Treatment of Sold Products):</w:t>
      </w:r>
    </w:p>
    <w:p>
      <w:pPr>
        <w:numPr>
          <w:ilvl w:val="1"/>
          <w:numId w:val="1017"/>
        </w:numPr>
        <w:pStyle w:val="Compact"/>
      </w:pPr>
      <w:r>
        <w:t xml:space="preserve">Product Weight: 1.2 kg [illustrative]</w:t>
      </w:r>
    </w:p>
    <w:p>
      <w:pPr>
        <w:numPr>
          <w:ilvl w:val="1"/>
          <w:numId w:val="1017"/>
        </w:numPr>
        <w:pStyle w:val="Compact"/>
      </w:pPr>
      <w:r>
        <w:t xml:space="preserve">Recyclability Percentage: 70% [illustrative for ryvwvsyzth]</w:t>
      </w:r>
    </w:p>
    <w:p>
      <w:pPr>
        <w:numPr>
          <w:ilvl w:val="1"/>
          <w:numId w:val="1017"/>
        </w:numPr>
        <w:pStyle w:val="Compact"/>
      </w:pPr>
      <w:r>
        <w:t xml:space="preserve">Recycled Material: 1.2 kg * 0.70 = 0.84 kg</w:t>
      </w:r>
    </w:p>
    <w:p>
      <w:pPr>
        <w:numPr>
          <w:ilvl w:val="1"/>
          <w:numId w:val="1017"/>
        </w:numPr>
        <w:pStyle w:val="Compact"/>
      </w:pPr>
      <w:r>
        <w:t xml:space="preserve">Disposed Material (non-recycled): 1.2 kg * 0.30 = 0.36 kg</w:t>
      </w:r>
    </w:p>
    <w:p>
      <w:pPr>
        <w:numPr>
          <w:ilvl w:val="1"/>
          <w:numId w:val="1017"/>
        </w:numPr>
        <w:pStyle w:val="Compact"/>
      </w:pPr>
      <w:r>
        <w:t xml:space="preserve">Recycling Credit (avoided emissions from recycling, illustrative factor): -0.5 kgCO2e/kg</w:t>
      </w:r>
    </w:p>
    <w:p>
      <w:pPr>
        <w:numPr>
          <w:ilvl w:val="2"/>
          <w:numId w:val="1018"/>
        </w:numPr>
        <w:pStyle w:val="Compact"/>
      </w:pPr>
      <w:r>
        <w:rPr>
          <w:bCs/>
          <w:b/>
        </w:rPr>
        <w:t xml:space="preserve">Calculation:</w:t>
      </w:r>
      <w:r>
        <w:t xml:space="preserve"> </w:t>
      </w:r>
      <w:r>
        <w:t xml:space="preserve">0.84 kg * -0.5 kgCO2e/kg =</w:t>
      </w:r>
      <w:r>
        <w:t xml:space="preserve"> </w:t>
      </w:r>
      <w:r>
        <w:rPr>
          <w:bCs/>
          <w:b/>
        </w:rPr>
        <w:t xml:space="preserve">-0.42 kgCO2e</w:t>
      </w:r>
    </w:p>
    <w:p>
      <w:pPr>
        <w:numPr>
          <w:ilvl w:val="1"/>
          <w:numId w:val="1017"/>
        </w:numPr>
        <w:pStyle w:val="Compact"/>
      </w:pPr>
      <w:r>
        <w:t xml:space="preserve">Disposal Emissions (e.g., landfill, for non-recycled portion, illustrative factor): 0.5 kgCO2e/kg</w:t>
      </w:r>
    </w:p>
    <w:p>
      <w:pPr>
        <w:numPr>
          <w:ilvl w:val="2"/>
          <w:numId w:val="1019"/>
        </w:numPr>
        <w:pStyle w:val="Compact"/>
      </w:pPr>
      <w:r>
        <w:rPr>
          <w:bCs/>
          <w:b/>
        </w:rPr>
        <w:t xml:space="preserve">Calculation:</w:t>
      </w:r>
      <w:r>
        <w:t xml:space="preserve"> </w:t>
      </w:r>
      <w:r>
        <w:t xml:space="preserve">0.36 kg * 0.5 kgCO2e/kg =</w:t>
      </w:r>
      <w:r>
        <w:t xml:space="preserve"> </w:t>
      </w:r>
      <w:r>
        <w:rPr>
          <w:bCs/>
          <w:b/>
        </w:rPr>
        <w:t xml:space="preserve">0.18 kgCO2e</w:t>
      </w:r>
    </w:p>
    <w:p>
      <w:pPr>
        <w:numPr>
          <w:ilvl w:val="1"/>
          <w:numId w:val="1017"/>
        </w:numPr>
        <w:pStyle w:val="Compact"/>
      </w:pPr>
      <w:r>
        <w:t xml:space="preserve">The presence of Circular/Take-back Programs (msyegdrtwv) supports achieving the high recyclability rate and facilitates the return of products for end-of-life management, thus enabling these avoided emissions.</w:t>
      </w:r>
    </w:p>
    <w:p>
      <w:pPr>
        <w:numPr>
          <w:ilvl w:val="1"/>
          <w:numId w:val="1017"/>
        </w:numPr>
        <w:pStyle w:val="Compact"/>
      </w:pPr>
      <w:r>
        <w:rPr>
          <w:bCs/>
          <w:b/>
        </w:rPr>
        <w:t xml:space="preserve">Total EoL Emissions:</w:t>
      </w:r>
      <w:r>
        <w:t xml:space="preserve"> </w:t>
      </w:r>
      <w:r>
        <w:t xml:space="preserve">0.18 kgCO2e - 0.42 kgCO2e =</w:t>
      </w:r>
      <w:r>
        <w:t xml:space="preserve"> </w:t>
      </w:r>
      <w:r>
        <w:rPr>
          <w:bCs/>
          <w:b/>
        </w:rPr>
        <w:t xml:space="preserve">-0.24 kgCO2e</w:t>
      </w:r>
    </w:p>
    <w:p>
      <w:pPr>
        <w:numPr>
          <w:ilvl w:val="0"/>
          <w:numId w:val="1015"/>
        </w:numPr>
        <w:pStyle w:val="Compact"/>
      </w:pPr>
      <w:r>
        <w:rPr>
          <w:bCs/>
          <w:b/>
        </w:rPr>
        <w:t xml:space="preserve">Last-Mile Delivery (Category 9 - Downstream Transportation &amp; Distribution):</w:t>
      </w:r>
    </w:p>
    <w:p>
      <w:pPr>
        <w:numPr>
          <w:ilvl w:val="1"/>
          <w:numId w:val="1020"/>
        </w:numPr>
        <w:pStyle w:val="Compact"/>
      </w:pPr>
      <w:r>
        <w:t xml:space="preserve">Distance: 100 km (part of illustrative 600km for okrlmghfoy)</w:t>
      </w:r>
    </w:p>
    <w:p>
      <w:pPr>
        <w:numPr>
          <w:ilvl w:val="1"/>
          <w:numId w:val="1020"/>
        </w:numPr>
        <w:pStyle w:val="Compact"/>
      </w:pPr>
      <w:r>
        <w:t xml:space="preserve">Emission Factor: 0.062 kgCO2e/tonne-km</w:t>
      </w:r>
    </w:p>
    <w:p>
      <w:pPr>
        <w:numPr>
          <w:ilvl w:val="1"/>
          <w:numId w:val="1020"/>
        </w:numPr>
        <w:pStyle w:val="Compact"/>
      </w:pPr>
      <w:r>
        <w:rPr>
          <w:bCs/>
          <w:b/>
        </w:rPr>
        <w:t xml:space="preserve">Calculation:</w:t>
      </w:r>
      <w:r>
        <w:t xml:space="preserve"> </w:t>
      </w:r>
      <w:r>
        <w:t xml:space="preserve">100 km * 0.0012 tonnes * 0.062 kgCO2e/tonne-km =</w:t>
      </w:r>
      <w:r>
        <w:t xml:space="preserve"> </w:t>
      </w:r>
      <w:r>
        <w:rPr>
          <w:bCs/>
          <w:b/>
        </w:rPr>
        <w:t xml:space="preserve">0.00744 kgCO2e</w:t>
      </w:r>
    </w:p>
    <w:p>
      <w:pPr>
        <w:numPr>
          <w:ilvl w:val="0"/>
          <w:numId w:val="1015"/>
        </w:numPr>
        <w:pStyle w:val="Compact"/>
      </w:pPr>
      <w:r>
        <w:rPr>
          <w:bCs/>
          <w:b/>
        </w:rPr>
        <w:t xml:space="preserve">Subtotal Downstream Scope 3 Emissions:</w:t>
      </w:r>
      <w:r>
        <w:t xml:space="preserve"> </w:t>
      </w:r>
      <w:r>
        <w:t xml:space="preserve">14.00 (Use) + (-0.24) (EoL) + 0.00744 (Last-Mile) =</w:t>
      </w:r>
      <w:r>
        <w:t xml:space="preserve"> </w:t>
      </w:r>
      <w:r>
        <w:rPr>
          <w:bCs/>
          <w:b/>
        </w:rPr>
        <w:t xml:space="preserve">13.76744 kgCO2e</w:t>
      </w:r>
    </w:p>
    <w:bookmarkEnd w:id="34"/>
    <w:bookmarkEnd w:id="35"/>
    <w:bookmarkStart w:id="36" w:name="summary-of-emissions-by-scope-kgco2e"/>
    <w:p>
      <w:pPr>
        <w:pStyle w:val="Heading3"/>
      </w:pPr>
      <w:r>
        <w:t xml:space="preserve">Summary of Emissions by Scope (kgCO2e)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2.10</w:t>
            </w:r>
          </w:p>
        </w:tc>
      </w:tr>
      <w:tr>
        <w:tc>
          <w:tcPr>
            <w:vMerge w:val="restart"/>
          </w:tcPr>
          <w:p>
            <w:pPr>
              <w:pStyle w:val="Compact"/>
              <w:jc w:val="left"/>
            </w:pPr>
            <w:r>
              <w:t xml:space="preserve">Scope 3</w:t>
            </w:r>
          </w:p>
        </w:tc>
        <w:tc>
          <w:tcPr/>
          <w:p>
            <w:pPr>
              <w:pStyle w:val="Compact"/>
              <w:jc w:val="left"/>
            </w:pPr>
            <w:r>
              <w:t xml:space="preserve">Raw Materials (Upstream)</w:t>
            </w:r>
          </w:p>
        </w:tc>
        <w:tc>
          <w:tcPr/>
          <w:p>
            <w:pPr>
              <w:pStyle w:val="Compact"/>
              <w:jc w:val="left"/>
            </w:pPr>
            <w:r>
              <w:t xml:space="preserve">6.60</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0.384 (Ocean) + 0.0372 (Road) + 0.00744 (Last-Mile) = 0.42864</w:t>
            </w:r>
          </w:p>
        </w:tc>
      </w:tr>
      <w:tr>
        <w:tc>
          <w:tcPr>
            <w:gridSpan w:val="1"/>
            <w:vMerge w:val="continue"/>
          </w:tcPr>
          <w:p>
            <w:pPr/>
          </w:p>
        </w:tc>
        <w:tc>
          <w:tcPr/>
          <w:p>
            <w:pPr>
              <w:pStyle w:val="Compact"/>
              <w:jc w:val="left"/>
            </w:pPr>
            <w:r>
              <w:t xml:space="preserve">Use Phase (Downstream)</w:t>
            </w:r>
          </w:p>
        </w:tc>
        <w:tc>
          <w:tcPr/>
          <w:p>
            <w:pPr>
              <w:pStyle w:val="Compact"/>
              <w:jc w:val="left"/>
            </w:pPr>
            <w:r>
              <w:t xml:space="preserve">14.00</w:t>
            </w:r>
          </w:p>
        </w:tc>
      </w:tr>
      <w:tr>
        <w:tc>
          <w:tcPr>
            <w:gridSpan w:val="1"/>
            <w:vMerge w:val="continue"/>
          </w:tcPr>
          <w:p>
            <w:pPr/>
          </w:p>
        </w:tc>
        <w:tc>
          <w:tcPr/>
          <w:p>
            <w:pPr>
              <w:pStyle w:val="Compact"/>
              <w:jc w:val="left"/>
            </w:pPr>
            <w:r>
              <w:t xml:space="preserve">End-of-Life (Downstream)</w:t>
            </w:r>
          </w:p>
        </w:tc>
        <w:tc>
          <w:tcPr/>
          <w:p>
            <w:pPr>
              <w:pStyle w:val="Compact"/>
              <w:jc w:val="left"/>
            </w:pPr>
            <w:r>
              <w:t xml:space="preserve">-0.24</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22.89 kgCO2e</w:t>
            </w:r>
          </w:p>
        </w:tc>
      </w:tr>
    </w:tbl>
    <w:p>
      <w:r>
        <w:pict>
          <v:rect style="width:0;height:1.5pt" o:hralign="center" o:hrstd="t" o:hr="t"/>
        </w:pict>
      </w:r>
    </w:p>
    <w:bookmarkEnd w:id="36"/>
    <w:bookmarkEnd w:id="37"/>
    <w:bookmarkStart w:id="41" w:name="review-report"/>
    <w:p>
      <w:pPr>
        <w:pStyle w:val="Heading2"/>
      </w:pPr>
      <w:r>
        <w:t xml:space="preserve">4. Review &amp; Report</w:t>
      </w:r>
    </w:p>
    <w:bookmarkStart w:id="38" w:name="hotspots-analysis"/>
    <w:p>
      <w:pPr>
        <w:pStyle w:val="Heading3"/>
      </w:pPr>
      <w:r>
        <w:t xml:space="preserve">4.1. Hotspots Analysis</w:t>
      </w:r>
    </w:p>
    <w:p>
      <w:pPr>
        <w:pStyle w:val="FirstParagraph"/>
      </w:pPr>
      <w:r>
        <w:t xml:space="preserve">The primary emissions hotspots for \'qtxrnpsyps\' are:</w:t>
      </w:r>
    </w:p>
    <w:p>
      <w:pPr>
        <w:numPr>
          <w:ilvl w:val="0"/>
          <w:numId w:val="1021"/>
        </w:numPr>
        <w:pStyle w:val="Compact"/>
      </w:pPr>
      <w:r>
        <w:rPr>
          <w:bCs/>
          <w:b/>
        </w:rPr>
        <w:t xml:space="preserve">Use Phase (61.16%):</w:t>
      </w:r>
      <w:r>
        <w:t xml:space="preserve"> </w:t>
      </w:r>
      <w:r>
        <w:t xml:space="preserve">The most significant contributor to the PCF, largely due to electricity consumption over the product\'s 5-year lifespan. This highlights the importance of energy efficiency in product design and promoting renewable energy adoption by end-users.</w:t>
      </w:r>
    </w:p>
    <w:p>
      <w:pPr>
        <w:numPr>
          <w:ilvl w:val="0"/>
          <w:numId w:val="1021"/>
        </w:numPr>
        <w:pStyle w:val="Compact"/>
      </w:pPr>
      <w:r>
        <w:rPr>
          <w:bCs/>
          <w:b/>
        </w:rPr>
        <w:t xml:space="preserve">Raw Materials (28.83%):</w:t>
      </w:r>
      <w:r>
        <w:t xml:space="preserve"> </w:t>
      </w:r>
      <w:r>
        <w:t xml:space="preserve">The extraction and processing of materials, particularly aluminum and the lithium-ion battery, contribute substantially to the upstream footprint. This underscores the need for sustainable material sourcing, lightweighting, and incorporating recycled content.</w:t>
      </w:r>
    </w:p>
    <w:p>
      <w:pPr>
        <w:numPr>
          <w:ilvl w:val="0"/>
          <w:numId w:val="1021"/>
        </w:numPr>
        <w:pStyle w:val="Compact"/>
      </w:pPr>
      <w:r>
        <w:rPr>
          <w:bCs/>
          <w:b/>
        </w:rPr>
        <w:t xml:space="preserve">Manufacturing (9.17%):</w:t>
      </w:r>
      <w:r>
        <w:t xml:space="preserve"> </w:t>
      </w:r>
      <w:r>
        <w:t xml:space="preserve">Despite 30% renewable energy usage, the remaining grid electricity consumption in China is a notable contributor. Further increasing renewable energy penetration at manufacturing sites is crucial.</w:t>
      </w:r>
    </w:p>
    <w:p>
      <w:pPr>
        <w:numPr>
          <w:ilvl w:val="0"/>
          <w:numId w:val="1021"/>
        </w:numPr>
        <w:pStyle w:val="Compact"/>
      </w:pPr>
      <w:r>
        <w:rPr>
          <w:bCs/>
          <w:b/>
        </w:rPr>
        <w:t xml:space="preserve">Transport (1.87%):</w:t>
      </w:r>
      <w:r>
        <w:t xml:space="preserve"> </w:t>
      </w:r>
      <w:r>
        <w:t xml:space="preserve">While ocean freight contributes more than road freight per tonne-km due to the longer distance, overall transport is a smaller proportion compared to use phase and materials.</w:t>
      </w:r>
    </w:p>
    <w:p>
      <w:pPr>
        <w:numPr>
          <w:ilvl w:val="0"/>
          <w:numId w:val="1021"/>
        </w:numPr>
        <w:pStyle w:val="Compact"/>
      </w:pPr>
      <w:r>
        <w:rPr>
          <w:bCs/>
          <w:b/>
        </w:rPr>
        <w:t xml:space="preserve">End-of-Life (-1.05%):</w:t>
      </w:r>
      <w:r>
        <w:t xml:space="preserve"> </w:t>
      </w:r>
      <w:r>
        <w:t xml:space="preserve">The presence of effective recycling and circular programs leads to a net negative emission, indicating avoided emissions through material recovery. This is a positive impact.</w:t>
      </w:r>
    </w:p>
    <w:bookmarkEnd w:id="38"/>
    <w:bookmarkStart w:id="39" w:name="data-reliability-and-limitations"/>
    <w:p>
      <w:pPr>
        <w:pStyle w:val="Heading3"/>
      </w:pPr>
      <w:r>
        <w:t xml:space="preserve">4.2. Data Reliability and Limitations</w:t>
      </w:r>
    </w:p>
    <w:p>
      <w:pPr>
        <w:pStyle w:val="FirstParagraph"/>
      </w:pPr>
      <w:r>
        <w:t xml:space="preserve">This report relies on a combination of primary (provided parameters) and secondary (industry-average emission factors) data. The reliability is influenced by:</w:t>
      </w:r>
    </w:p>
    <w:p>
      <w:pPr>
        <w:numPr>
          <w:ilvl w:val="0"/>
          <w:numId w:val="1022"/>
        </w:numPr>
        <w:pStyle w:val="Compact"/>
      </w:pPr>
      <w:r>
        <w:rPr>
          <w:bCs/>
          <w:b/>
        </w:rPr>
        <w:t xml:space="preserve">Illustrative Data:</w:t>
      </w:r>
      <w:r>
        <w:t xml:space="preserve"> </w:t>
      </w:r>
      <w:r>
        <w:t xml:space="preserve">Specific numerical values for BOM, transport distances, energy usage, recyclability, etc., were illustrative due to the placeholder nature of the input parameters. Actual operational data from fmnqrmvjzj would significantly enhance precision.</w:t>
      </w:r>
    </w:p>
    <w:p>
      <w:pPr>
        <w:numPr>
          <w:ilvl w:val="0"/>
          <w:numId w:val="1022"/>
        </w:numPr>
        <w:pStyle w:val="Compact"/>
      </w:pPr>
      <w:r>
        <w:rPr>
          <w:bCs/>
          <w:b/>
        </w:rPr>
        <w:t xml:space="preserve">Emission Factors:</w:t>
      </w:r>
      <w:r>
        <w:t xml:space="preserve"> </w:t>
      </w:r>
      <w:r>
        <w:t xml:space="preserve">Generic, publicly available emission factors (e.g., from IEA, DEFRA, BEIS, McKinnon) were used for key activities like electricity generation, and transportation. While these are widely accepted, product-specific or supplier-specific emission factors would yield higher accuracy.</w:t>
      </w:r>
    </w:p>
    <w:p>
      <w:pPr>
        <w:numPr>
          <w:ilvl w:val="0"/>
          <w:numId w:val="1022"/>
        </w:numPr>
        <w:pStyle w:val="Compact"/>
      </w:pPr>
      <w:r>
        <w:rPr>
          <w:bCs/>
          <w:b/>
        </w:rPr>
        <w:t xml:space="preserve">System Boundary:</w:t>
      </w:r>
      <w:r>
        <w:t xml:space="preserve"> </w:t>
      </w:r>
      <w:r>
        <w:t xml:space="preserve">The "factory_gate" system boundary for upstream manufacturing, combined with cradle-to-grave consideration, provides a comprehensive view. However, some minor Scope 3 categories (e.g., capital goods, business travel) might be excluded due to their generally small contribution to PCF or lack of specific data.</w:t>
      </w:r>
    </w:p>
    <w:p>
      <w:pPr>
        <w:numPr>
          <w:ilvl w:val="0"/>
          <w:numId w:val="1022"/>
        </w:numPr>
        <w:pStyle w:val="Compact"/>
      </w:pPr>
      <w:r>
        <w:rPr>
          <w:bCs/>
          <w:b/>
        </w:rPr>
        <w:t xml:space="preserve">LSR Update:</w:t>
      </w:r>
      <w:r>
        <w:t xml:space="preserve"> </w:t>
      </w:r>
      <w:r>
        <w:t xml:space="preserve">The application of the 2026 LSR Standard is conceptual in this report due to the absence of specific land-use or biogenic carbon data for \'qtxrnpsyps\'. Full implementation would require detailed tracing of bio-based inputs and land-use change impacts.</w:t>
      </w:r>
    </w:p>
    <w:bookmarkEnd w:id="39"/>
    <w:bookmarkStart w:id="40" w:name="recommendations"/>
    <w:p>
      <w:pPr>
        <w:pStyle w:val="Heading3"/>
      </w:pPr>
      <w:r>
        <w:t xml:space="preserve">4.3. Recommendations</w:t>
      </w:r>
    </w:p>
    <w:p>
      <w:pPr>
        <w:pStyle w:val="FirstParagraph"/>
      </w:pPr>
      <w:r>
        <w:t xml:space="preserve">To further reduce the PCF of \'qtxrnpsyps\', fmnqrmvjzj is recommended to:</w:t>
      </w:r>
    </w:p>
    <w:p>
      <w:pPr>
        <w:numPr>
          <w:ilvl w:val="0"/>
          <w:numId w:val="1023"/>
        </w:numPr>
        <w:pStyle w:val="Compact"/>
      </w:pPr>
      <w:r>
        <w:rPr>
          <w:bCs/>
          <w:b/>
        </w:rPr>
        <w:t xml:space="preserve">Enhance Use Phase Efficiency:</w:t>
      </w:r>
      <w:r>
        <w:t xml:space="preserve"> </w:t>
      </w:r>
      <w:r>
        <w:t xml:space="preserve">Focus on product design for lower energy consumption during use and encourage end-users to power the product with renewable energy.</w:t>
      </w:r>
    </w:p>
    <w:p>
      <w:pPr>
        <w:numPr>
          <w:ilvl w:val="0"/>
          <w:numId w:val="1023"/>
        </w:numPr>
        <w:pStyle w:val="Compact"/>
      </w:pPr>
      <w:r>
        <w:rPr>
          <w:bCs/>
          <w:b/>
        </w:rPr>
        <w:t xml:space="preserve">Optimize Material Sourcing:</w:t>
      </w:r>
      <w:r>
        <w:t xml:space="preserve"> </w:t>
      </w:r>
      <w:r>
        <w:t xml:space="preserve">Prioritize materials with lower embedded carbon (e.g., recycled content, certified sustainable sources) and explore material efficiency opportunities.</w:t>
      </w:r>
    </w:p>
    <w:p>
      <w:pPr>
        <w:numPr>
          <w:ilvl w:val="0"/>
          <w:numId w:val="1023"/>
        </w:numPr>
        <w:pStyle w:val="Compact"/>
      </w:pPr>
      <w:r>
        <w:rPr>
          <w:bCs/>
          <w:b/>
        </w:rPr>
        <w:t xml:space="preserve">Increase Renewable Energy Adoption:</w:t>
      </w:r>
      <w:r>
        <w:t xml:space="preserve"> </w:t>
      </w:r>
      <w:r>
        <w:t xml:space="preserve">Further invest in or procure renewable energy for manufacturing operations in China.</w:t>
      </w:r>
    </w:p>
    <w:p>
      <w:pPr>
        <w:numPr>
          <w:ilvl w:val="0"/>
          <w:numId w:val="1023"/>
        </w:numPr>
        <w:pStyle w:val="Compact"/>
      </w:pPr>
      <w:r>
        <w:rPr>
          <w:bCs/>
          <w:b/>
        </w:rPr>
        <w:t xml:space="preserve">Refine Data Collection:</w:t>
      </w:r>
      <w:r>
        <w:t xml:space="preserve"> </w:t>
      </w:r>
      <w:r>
        <w:t xml:space="preserve">Implement systems for collecting primary, product-specific data for all lifecycle stages, especially for materials and energy, to improve accuracy and identify more granular hotspots.</w:t>
      </w:r>
    </w:p>
    <w:p>
      <w:pPr>
        <w:numPr>
          <w:ilvl w:val="0"/>
          <w:numId w:val="1023"/>
        </w:numPr>
        <w:pStyle w:val="Compact"/>
      </w:pPr>
      <w:r>
        <w:rPr>
          <w:bCs/>
          <w:b/>
        </w:rPr>
        <w:t xml:space="preserve">Strengthen Circularity:</w:t>
      </w:r>
      <w:r>
        <w:t xml:space="preserve"> </w:t>
      </w:r>
      <w:r>
        <w:t xml:space="preserve">Continue to develop and promote robust take-back and recycling programs to maximize end-of-life value and avoided emissions.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qtxrnpsyps</dc:title>
  <dc:creator/>
  <dc:description>High-detail Product Carbon Footprint (PCF) analysis for product qtxrnpsyps by Senior Sustainability Consultant iygmserstu for fmnqrmvjzj, adhering to GHG Protocol and 2026 LSR Update.</dc:description>
  <dc:language>en</dc:language>
  <cp:keywords/>
  <dcterms:created xsi:type="dcterms:W3CDTF">2026-07-14T23:38:30Z</dcterms:created>
  <dcterms:modified xsi:type="dcterms:W3CDTF">2026-07-14T23:38:30Z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