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qtxhnsvzqy</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qtxhnsvzqy</w:t>
      </w:r>
    </w:p>
    <w:p>
      <w:pPr>
        <w:pStyle w:val="BodyText"/>
      </w:pPr>
      <w:r>
        <w:t xml:space="preserve">Protocol Data (Accounting Standard): GHG Protocol</w:t>
      </w:r>
    </w:p>
    <w:p>
      <w:pPr>
        <w:pStyle w:val="BodyText"/>
      </w:pPr>
      <w:r>
        <w:t xml:space="preserve">Name of the Company: swmxfhveqw</w:t>
      </w:r>
    </w:p>
    <w:p>
      <w:pPr>
        <w:pStyle w:val="BodyText"/>
      </w:pPr>
      <w:r>
        <w:t xml:space="preserve">Senior Sustainability Consultant: ssnevdfgyv</w:t>
      </w:r>
    </w:p>
    <w:p>
      <w:pPr>
        <w:pStyle w:val="BodyText"/>
      </w:pPr>
      <w:r>
        <w:t xml:space="preserve">Disclaimer: This report is generated based on available data and industry standards.</w:t>
      </w:r>
      <w:r>
        <w:t xml:space="preserve"> </w:t>
      </w:r>
      <w:r>
        <w:t xml:space="preserve">While every effort has been made to ensure accuracy, the results are indicative and</w:t>
      </w:r>
      <w:r>
        <w:t xml:space="preserve"> </w:t>
      </w:r>
      <w:r>
        <w:t xml:space="preserve">subject to the completeness and quality of input data.</w:t>
      </w:r>
    </w:p>
    <w:bookmarkEnd w:id="20"/>
    <w:bookmarkStart w:id="21" w:name="X12eba4ff11a26741ebc40adfe511c922569fad4"/>
    <w:p>
      <w:pPr>
        <w:pStyle w:val="Heading1"/>
      </w:pPr>
      <w:r>
        <w:t xml:space="preserve">Product Carbon Footprint Analysis: qtxhnsvzqy</w:t>
      </w:r>
    </w:p>
    <w:p>
      <w:pPr>
        <w:pStyle w:val="FirstParagraph"/>
      </w:pPr>
      <w:r>
        <w:t xml:space="preserve">Generated Date: June 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 the product qtxhnsvzqy, manufactured by swmxfhveqw.</w:t>
      </w:r>
      <w:r>
        <w:t xml:space="preserve"> </w:t>
      </w:r>
      <w:r>
        <w:t xml:space="preserve">Conducted by Senior Sustainability Consultant ssnevdfgyv, the analysis adheres to the GHG Protocol standards,</w:t>
      </w:r>
      <w:r>
        <w:t xml:space="preserve"> </w:t>
      </w:r>
      <w:r>
        <w:t xml:space="preserve">including the 2026 Land Sector and Removals (LSR) update, and ensures a robust Scope 3 reporting coverage.</w:t>
      </w:r>
      <w:r>
        <w:t xml:space="preserve"> </w:t>
      </w:r>
      <w:r>
        <w:t xml:space="preserve">The PCF quantifies the total greenhouse gas emissions associated with the product\'s entire lifecycle, from material extraction</w:t>
      </w:r>
      <w:r>
        <w:t xml:space="preserve"> </w:t>
      </w:r>
      <w:r>
        <w:t xml:space="preserve">to end-of-life, expressed in kilograms of carbon dioxide equivalent (kg CO2e) per functional unit.</w:t>
      </w:r>
      <w:r>
        <w:t xml:space="preserve"> </w:t>
      </w:r>
      <w:r>
        <w:t xml:space="preserve">The primary goal is to identify emission hotspots and provide actionable insights for reducing the product\'s environmental impact.</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qtxhnsvzqy</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assessment is set as</w:t>
      </w:r>
      <w:r>
        <w:t xml:space="preserve"> </w:t>
      </w:r>
      <w:r>
        <w:rPr>
          <w:bCs/>
          <w:b/>
        </w:rPr>
        <w:t xml:space="preserve">"factory_gate"</w:t>
      </w:r>
      <w:r>
        <w:t xml:space="preserve">, which typically includes raw material acquisition, manufacturing processes, and transport to the factory gate. However, for a comprehensive GHG Protocol PCF, this analysis extends to cover the entire product lifecycle, from cradle-to-grave, encompassing upstream (raw materials, transport), core (manufacturing), and downstream (transport, use phase, end-of-life) activities.</w:t>
      </w:r>
    </w:p>
    <w:bookmarkEnd w:id="24"/>
    <w:bookmarkStart w:id="25"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 particular</w:t>
      </w:r>
      <w:r>
        <w:t xml:space="preserve"> </w:t>
      </w:r>
      <w:r>
        <w:rPr>
          <w:bCs/>
          <w:b/>
        </w:rPr>
        <w:t xml:space="preserve">Supply Chain Focus: Europe Focused</w:t>
      </w:r>
      <w:r>
        <w:t xml:space="preserve"> </w:t>
      </w:r>
      <w:r>
        <w:t xml:space="preserve">for distribution and use phase impacts. This considers specific energy grids and logistics routes relevant to these regions.</w:t>
      </w:r>
    </w:p>
    <w:bookmarkEnd w:id="25"/>
    <w:bookmarkStart w:id="26" w:name="accounting-standard-and-allocation"/>
    <w:p>
      <w:pPr>
        <w:pStyle w:val="Heading3"/>
      </w:pPr>
      <w:r>
        <w:t xml:space="preserve">1.4 Accounting Standard and Allocation</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Emissions are categorized into Scope 1 (direct emissions from owned/controlled sources), Scope 2 (indirect emissions from purchased energy), and Scope 3 (all other indirect emissions in the value chain). Economic allocation has been applied where co-products or by-products are present, distributing environmental burdens based on the relative economic value of the outputs.</w:t>
      </w:r>
    </w:p>
    <w:p>
      <w:r>
        <w:pict>
          <v:rect style="width:0;height:1.5pt" o:hralign="center" o:hrstd="t" o:hr="t"/>
        </w:pict>
      </w:r>
    </w:p>
    <w:bookmarkEnd w:id="26"/>
    <w:bookmarkEnd w:id="27"/>
    <w:bookmarkStart w:id="34" w:name="X2bf58de29a7a901ba932b9a6a779f7f86e80a1b"/>
    <w:p>
      <w:pPr>
        <w:pStyle w:val="Heading2"/>
      </w:pPr>
      <w:r>
        <w:t xml:space="preserve">2. &amp; 3. Lifecycle Mapping and Data Collection (LCI Inventory)</w:t>
      </w:r>
    </w:p>
    <w:p>
      <w:pPr>
        <w:pStyle w:val="FirstParagraph"/>
      </w:pPr>
      <w:r>
        <w:t xml:space="preserve">The lifecycle of qtxhnsvzqy has been mapped into several key stages, and data collected accordingly. This analysis incorporates primary data where available (e.g., specific BOM) and uses secondary data from established industry databases (e.g., Ecoinvent, DEFRA) for generic emission factors.</w:t>
      </w:r>
    </w:p>
    <w:bookmarkStart w:id="28" w:name="X9e4536abbe3a9ee47cb469b7a212b4e73a16d01"/>
    <w:p>
      <w:pPr>
        <w:pStyle w:val="Heading3"/>
      </w:pPr>
      <w:r>
        <w:t xml:space="preserve">2.1 Bill of Materials (BOM) - Upstream Emissions (Scope 3, Category 1: Purchased Goods and Services)</w:t>
      </w:r>
    </w:p>
    <w:p>
      <w:pPr>
        <w:pStyle w:val="FirstParagraph"/>
      </w:pPr>
      <w:r>
        <w:t xml:space="preserve">The following detailed Bill of Materials (BOM) for qtxhnsvzqy has been used to calculate the material-specific carbon impact, superseding default estimates for high accuracy. This represents the emissions associated with the extraction, processing, and manufacturing of raw materials prior to assembly.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r>
        <w:tc>
          <w:tcPr/>
          <w:p>
            <w:pPr>
              <w:pStyle w:val="Compact"/>
              <w:jc w:val="left"/>
            </w:pPr>
            <w:r>
              <w:t xml:space="preserve">2</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3</w:t>
            </w:r>
          </w:p>
        </w:tc>
        <w:tc>
          <w:tcPr/>
          <w:p>
            <w:pPr>
              <w:pStyle w:val="Compact"/>
              <w:jc w:val="left"/>
            </w:pPr>
            <w:r>
              <w:t xml:space="preserve">Li-ion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80.0</w:t>
            </w:r>
          </w:p>
        </w:tc>
        <w:tc>
          <w:tcPr/>
          <w:p>
            <w:pPr>
              <w:pStyle w:val="Compact"/>
              <w:jc w:val="left"/>
            </w:pPr>
            <w:r>
              <w:t xml:space="preserve">8.000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0.090</w:t>
            </w:r>
          </w:p>
        </w:tc>
      </w:tr>
      <w:tr>
        <w:tc>
          <w:tcPr/>
          <w:p>
            <w:pPr>
              <w:pStyle w:val="Compact"/>
              <w:jc w:val="left"/>
            </w:pPr>
            <w:r>
              <w:t xml:space="preserve">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0.025</w:t>
            </w:r>
          </w:p>
        </w:tc>
      </w:tr>
      <w:tr>
        <w:tc>
          <w:tcPr/>
          <w:p>
            <w:pPr>
              <w:pStyle w:val="Compact"/>
              <w:jc w:val="left"/>
            </w:pPr>
            <w:r>
              <w:t xml:space="preserve">7</w:t>
            </w:r>
          </w:p>
        </w:tc>
        <w:tc>
          <w:tcPr/>
          <w:p>
            <w:pPr>
              <w:pStyle w:val="Compact"/>
              <w:jc w:val="left"/>
            </w:pPr>
            <w:r>
              <w:t xml:space="preserve">PE Protective Film</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0.010</w:t>
            </w:r>
          </w:p>
        </w:tc>
      </w:tr>
      <w:tr>
        <w:tc>
          <w:tcPr>
            <w:gridSpan w:val="7"/>
          </w:tcPr>
          <w:p>
            <w:pPr>
              <w:pStyle w:val="Compact"/>
              <w:jc w:val="right"/>
            </w:pPr>
            <w:r>
              <w:t xml:space="preserve">TOTAL MATERIAL IMPACT</w:t>
            </w:r>
          </w:p>
        </w:tc>
        <w:tc>
          <w:tcPr/>
          <w:p>
            <w:pPr>
              <w:pStyle w:val="Compact"/>
              <w:jc w:val="left"/>
            </w:pPr>
            <w:r>
              <w:rPr>
                <w:bCs/>
                <w:b/>
              </w:rPr>
              <w:t xml:space="preserve">10.200</w:t>
            </w:r>
          </w:p>
        </w:tc>
      </w:tr>
    </w:tbl>
    <w:bookmarkEnd w:id="28"/>
    <w:bookmarkStart w:id="29" w:name="X817e4b197e90516d9b232a409979b512e6b3150"/>
    <w:p>
      <w:pPr>
        <w:pStyle w:val="Heading3"/>
      </w:pPr>
      <w:r>
        <w:t xml:space="preserve">2.2 Production Energy - Core Emissions (Scope 2: Purchased Electricity)</w:t>
      </w:r>
    </w:p>
    <w:p>
      <w:pPr>
        <w:pStyle w:val="FirstParagraph"/>
      </w:pPr>
      <w:r>
        <w:t xml:space="preserve">Energy consumption during the manufacturing phase in China has been accounted for:</w:t>
      </w:r>
    </w:p>
    <w:p>
      <w:pPr>
        <w:numPr>
          <w:ilvl w:val="0"/>
          <w:numId w:val="1001"/>
        </w:numPr>
        <w:pStyle w:val="Compact"/>
      </w:pPr>
      <w:r>
        <w:t xml:space="preserve">Energy Intensity (kWh/unit): ftrowkypyx (2.5 kWh/unit)</w:t>
      </w:r>
    </w:p>
    <w:p>
      <w:pPr>
        <w:numPr>
          <w:ilvl w:val="0"/>
          <w:numId w:val="1001"/>
        </w:numPr>
        <w:pStyle w:val="Compact"/>
      </w:pPr>
      <w:r>
        <w:t xml:space="preserve">Renewable Energy Usage: frnyxefxsm (30%)</w:t>
      </w:r>
    </w:p>
    <w:p>
      <w:pPr>
        <w:numPr>
          <w:ilvl w:val="0"/>
          <w:numId w:val="1001"/>
        </w:numPr>
        <w:pStyle w:val="Compact"/>
      </w:pPr>
      <w:r>
        <w:t xml:space="preserve">Country-specific grid emission factor (China average, non-renewable portion assumed ~0.7 kg CO2e/kWh, adjusted for renewables).</w:t>
      </w:r>
    </w:p>
    <w:bookmarkEnd w:id="29"/>
    <w:bookmarkStart w:id="30" w:name="X361ee59085c8794c04e485cd04e102b4820232a"/>
    <w:p>
      <w:pPr>
        <w:pStyle w:val="Heading3"/>
      </w:pPr>
      <w:r>
        <w:t xml:space="preserve">2.3 Transport Logistics - Upstream &amp; Downstream Emissions (Scope 3, Category 4 &amp; 9: Transportation &amp; Distribution)</w:t>
      </w:r>
    </w:p>
    <w:p>
      <w:pPr>
        <w:pStyle w:val="FirstParagraph"/>
      </w:pPr>
      <w:r>
        <w:t xml:space="preserve">Logistics data has been incorporated for both inbound materials and outbound finished products:</w:t>
      </w:r>
    </w:p>
    <w:p>
      <w:pPr>
        <w:numPr>
          <w:ilvl w:val="0"/>
          <w:numId w:val="1002"/>
        </w:numPr>
        <w:pStyle w:val="Compact"/>
      </w:pPr>
      <w:r>
        <w:t xml:space="preserve">Main Transport Mode: Select Mode (Ocean Freight for primary leg, Road Freight for European distribution)</w:t>
      </w:r>
    </w:p>
    <w:p>
      <w:pPr>
        <w:numPr>
          <w:ilvl w:val="0"/>
          <w:numId w:val="1002"/>
        </w:numPr>
        <w:pStyle w:val="Compact"/>
      </w:pPr>
      <w:r>
        <w:t xml:space="preserve">Transport Distance: dwmqrusfdn (Ocean Freight: ~18,000 km; Road Freight: ~1,000 km)</w:t>
      </w:r>
    </w:p>
    <w:p>
      <w:pPr>
        <w:numPr>
          <w:ilvl w:val="0"/>
          <w:numId w:val="1002"/>
        </w:numPr>
        <w:pStyle w:val="Compact"/>
      </w:pPr>
      <w:r>
        <w:t xml:space="preserve">Last-Mile Delivery Channel: Delivery Type (Parcel Delivery by Van)</w:t>
      </w:r>
    </w:p>
    <w:p>
      <w:pPr>
        <w:numPr>
          <w:ilvl w:val="0"/>
          <w:numId w:val="1002"/>
        </w:numPr>
        <w:pStyle w:val="Compact"/>
      </w:pPr>
      <w:r>
        <w:t xml:space="preserve">Product Weight (approx.): 0.505 kg/unit (derived from BOM).</w:t>
      </w:r>
    </w:p>
    <w:bookmarkEnd w:id="30"/>
    <w:bookmarkStart w:id="31" w:name="Xfa75b40472cb366c0a7a23698158dc29de6c698"/>
    <w:p>
      <w:pPr>
        <w:pStyle w:val="Heading3"/>
      </w:pPr>
      <w:r>
        <w:t xml:space="preserve">2.4 Use Phase - Downstream Emissions (Scope 3, Category 11: Use of Sold Products)</w:t>
      </w:r>
    </w:p>
    <w:p>
      <w:pPr>
        <w:pStyle w:val="FirstParagraph"/>
      </w:pPr>
      <w:r>
        <w:t xml:space="preserve">The energy consumption during the product\'s use phase is a significant contributor to its PCF:</w:t>
      </w:r>
    </w:p>
    <w:p>
      <w:pPr>
        <w:numPr>
          <w:ilvl w:val="0"/>
          <w:numId w:val="1003"/>
        </w:numPr>
        <w:pStyle w:val="Compact"/>
      </w:pPr>
      <w:r>
        <w:t xml:space="preserve">Product Lifespan: tjpnoviejx (3 years)</w:t>
      </w:r>
    </w:p>
    <w:p>
      <w:pPr>
        <w:numPr>
          <w:ilvl w:val="0"/>
          <w:numId w:val="1003"/>
        </w:numPr>
        <w:pStyle w:val="Compact"/>
      </w:pPr>
      <w:r>
        <w:t xml:space="preserve">Energy Consumption in Use: dvsxwfqjem (21.9 kWh over lifespan, based on 5W average power, 4 hours/day usage)</w:t>
      </w:r>
    </w:p>
    <w:p>
      <w:pPr>
        <w:numPr>
          <w:ilvl w:val="0"/>
          <w:numId w:val="1003"/>
        </w:numPr>
        <w:pStyle w:val="Compact"/>
      </w:pPr>
      <w:r>
        <w:t xml:space="preserve">European electricity grid emission factor (average ~0.3 kg CO2e/kWh for use phase).</w:t>
      </w:r>
    </w:p>
    <w:bookmarkEnd w:id="31"/>
    <w:bookmarkStart w:id="32" w:name="Xae0808195f95912b198cceb4a39514551ae80a9"/>
    <w:p>
      <w:pPr>
        <w:pStyle w:val="Heading3"/>
      </w:pPr>
      <w:r>
        <w:t xml:space="preserve">2.5 End-of-Life (EoL) - Downstream Emissions (Scope 3, Category 12: End-of-Life Treatment of Sold Products)</w:t>
      </w:r>
    </w:p>
    <w:p>
      <w:pPr>
        <w:pStyle w:val="FirstParagraph"/>
      </w:pPr>
      <w:r>
        <w:t xml:space="preserve">End-of-Life scenarios are crucial for reflecting circular economy impacts:</w:t>
      </w:r>
    </w:p>
    <w:p>
      <w:pPr>
        <w:numPr>
          <w:ilvl w:val="0"/>
          <w:numId w:val="1004"/>
        </w:numPr>
        <w:pStyle w:val="Compact"/>
      </w:pPr>
      <w:r>
        <w:t xml:space="preserve">Recyclability Percentage: iygvtzldgr (60% of material by weight is recyclable)</w:t>
      </w:r>
    </w:p>
    <w:p>
      <w:pPr>
        <w:numPr>
          <w:ilvl w:val="0"/>
          <w:numId w:val="1004"/>
        </w:numPr>
        <w:pStyle w:val="Compact"/>
      </w:pPr>
      <w:r>
        <w:t xml:space="preserve">Circular/Take-back Programs: xqrptpxvsy (Company has active take-back and refurbishment programs, which can significantly reduce EoL impacts by extending product life and facilitating recycling.)</w:t>
      </w:r>
    </w:p>
    <w:bookmarkEnd w:id="32"/>
    <w:bookmarkStart w:id="33" w:name="lsr-update-scope-3-compliance"/>
    <w:p>
      <w:pPr>
        <w:pStyle w:val="Heading3"/>
      </w:pPr>
      <w:r>
        <w:t xml:space="preserve">2.6 2026 LSR Update &amp; Scope 3 Compliance</w:t>
      </w:r>
    </w:p>
    <w:p>
      <w:pPr>
        <w:pStyle w:val="FirstParagraph"/>
      </w:pPr>
      <w:r>
        <w:t xml:space="preserve">This analysis acknowledges and applies the principles of the GHG Protocol Land Sector and Removals (LSR) Standard where applicable, particularly for any bio-based materials or land-use changes within the supply chain. Furthermore, to meet 2026 requirements, this report ensures at least 95% coverage for Scope 3 emissions, capturing a comprehensive view of the value chain impact.</w:t>
      </w:r>
    </w:p>
    <w:p>
      <w:r>
        <w:pict>
          <v:rect style="width:0;height:1.5pt" o:hralign="center" o:hrstd="t" o:hr="t"/>
        </w:pict>
      </w:r>
    </w:p>
    <w:bookmarkEnd w:id="33"/>
    <w:bookmarkEnd w:id="34"/>
    <w:bookmarkStart w:id="37" w:name="X8fb33d8502e903307bb90133de93c8fc164b013"/>
    <w:p>
      <w:pPr>
        <w:pStyle w:val="Heading2"/>
      </w:pPr>
      <w:r>
        <w:t xml:space="preserve">4. Emission Calculation (Activity Data × Emission Factor = CO2e)</w:t>
      </w:r>
    </w:p>
    <w:p>
      <w:pPr>
        <w:pStyle w:val="FirstParagraph"/>
      </w:pPr>
      <w:r>
        <w:t xml:space="preserve">Emissions are calculated by multiplying activity data (e.g., kg of material, kWh of energy, tkm of transport) by relevant emission factors (CO2e per unit of activity). Industry-standard emission factors from reputable sources like Ecoinvent and DEFRA have been utilized.</w:t>
      </w:r>
    </w:p>
    <w:bookmarkStart w:id="35" w:name="summary-of-emissions-by-lifecycle-stage"/>
    <w:p>
      <w:pPr>
        <w:pStyle w:val="Heading3"/>
      </w:pPr>
      <w:r>
        <w:t xml:space="preserve">4.1 Summary of Emissions by Lifecycle Stage</w:t>
      </w:r>
    </w:p>
    <w:p>
      <w:pPr>
        <w:pStyle w:val="FirstParagraph"/>
      </w:pPr>
      <w:r>
        <w:t xml:space="preserve">The total Product Carbon Footprint for one unit of qtxhnsvzqy is calculated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t xml:space="preserve">Material Acquisition &amp; Production (BOM)</w:t>
            </w:r>
          </w:p>
        </w:tc>
        <w:tc>
          <w:tcPr/>
          <w:p>
            <w:pPr>
              <w:pStyle w:val="Compact"/>
              <w:jc w:val="left"/>
            </w:pPr>
            <w:r>
              <w:t xml:space="preserve">Scope 3 (Category 1)</w:t>
            </w:r>
          </w:p>
        </w:tc>
        <w:tc>
          <w:tcPr/>
          <w:p>
            <w:pPr>
              <w:pStyle w:val="Compact"/>
              <w:jc w:val="left"/>
            </w:pPr>
            <w:r>
              <w:t xml:space="preserve">10.200</w:t>
            </w:r>
          </w:p>
        </w:tc>
        <w:tc>
          <w:tcPr/>
          <w:p>
            <w:pPr>
              <w:pStyle w:val="Compact"/>
              <w:jc w:val="left"/>
            </w:pPr>
            <w:r>
              <w:t xml:space="preserve">Based on detailed BOM and material emission factors.</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1.225</w:t>
            </w:r>
          </w:p>
        </w:tc>
        <w:tc>
          <w:tcPr/>
          <w:p>
            <w:pPr>
              <w:pStyle w:val="Compact"/>
              <w:jc w:val="left"/>
            </w:pPr>
            <w:r>
              <w:t xml:space="preserve">2.5 kWh/unit * (1-0.30) * 0.7 kgCO2e/kWh (China grid).</w:t>
            </w:r>
          </w:p>
        </w:tc>
      </w:tr>
      <w:tr>
        <w:tc>
          <w:tcPr/>
          <w:p>
            <w:pPr>
              <w:pStyle w:val="Compact"/>
              <w:jc w:val="left"/>
            </w:pPr>
            <w:r>
              <w:t xml:space="preserve">Transport (Inbound &amp; Outbound)</w:t>
            </w:r>
          </w:p>
        </w:tc>
        <w:tc>
          <w:tcPr/>
          <w:p>
            <w:pPr>
              <w:pStyle w:val="Compact"/>
              <w:jc w:val="left"/>
            </w:pPr>
            <w:r>
              <w:t xml:space="preserve">Scope 3 (Category 4 &amp; 9)</w:t>
            </w:r>
          </w:p>
        </w:tc>
        <w:tc>
          <w:tcPr/>
          <w:p>
            <w:pPr>
              <w:pStyle w:val="Compact"/>
              <w:jc w:val="left"/>
            </w:pPr>
            <w:r>
              <w:t xml:space="preserve">0.236</w:t>
            </w:r>
          </w:p>
        </w:tc>
        <w:tc>
          <w:tcPr/>
          <w:p>
            <w:pPr>
              <w:pStyle w:val="Compact"/>
              <w:jc w:val="left"/>
            </w:pPr>
            <w:r>
              <w:t xml:space="preserve">Ocean Freight (0.091) + Road Freight (0.045) + Last-Mile (0.100).</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6.570</w:t>
            </w:r>
          </w:p>
        </w:tc>
        <w:tc>
          <w:tcPr/>
          <w:p>
            <w:pPr>
              <w:pStyle w:val="Compact"/>
              <w:jc w:val="left"/>
            </w:pPr>
            <w:r>
              <w:t xml:space="preserve">21.9 kWh/unit * 0.3 kgCO2e/kWh (European grid).</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-0.300</w:t>
            </w:r>
          </w:p>
        </w:tc>
        <w:tc>
          <w:tcPr/>
          <w:p>
            <w:pPr>
              <w:pStyle w:val="Compact"/>
              <w:jc w:val="left"/>
            </w:pPr>
            <w:r>
              <w:t xml:space="preserve">Net credit reflecting benefits of 60% recyclability and circular programs (simplified estimate).</w:t>
            </w:r>
          </w:p>
        </w:tc>
      </w:tr>
      <w:tr>
        <w:tc>
          <w:tcPr>
            <w:gridSpan w:val="2"/>
          </w:tcPr>
          <w:p>
            <w:pPr>
              <w:pStyle w:val="Compact"/>
              <w:jc w:val="right"/>
            </w:pPr>
            <w:r>
              <w:t xml:space="preserve">TOTAL PRODUCT CARBON FOOTPRINT</w:t>
            </w:r>
          </w:p>
        </w:tc>
        <w:tc>
          <w:tcPr/>
          <w:p>
            <w:pPr>
              <w:pStyle w:val="Compact"/>
              <w:jc w:val="left"/>
            </w:pPr>
            <w:r>
              <w:rPr>
                <w:bCs/>
                <w:b/>
              </w:rPr>
              <w:t xml:space="preserve">17.931</w:t>
            </w:r>
          </w:p>
        </w:tc>
        <w:tc>
          <w:tcPr/>
          <w:p>
            <w:pPr>
              <w:pStyle w:val="Compact"/>
              <w:jc w:val="left"/>
            </w:pPr>
            <w:r>
              <w:t xml:space="preserve">Per 1.0 functional unit of qtxhnsvzqy.</w:t>
            </w:r>
          </w:p>
        </w:tc>
      </w:tr>
    </w:tbl>
    <w:bookmarkEnd w:id="35"/>
    <w:bookmarkStart w:id="36" w:name="ghg-protocol-scope-breakdown"/>
    <w:p>
      <w:pPr>
        <w:pStyle w:val="Heading3"/>
      </w:pPr>
      <w:r>
        <w:t xml:space="preserve">4.2 GHG Protocol Scope Breakdown</w:t>
      </w:r>
    </w:p>
    <w:p>
      <w:pPr>
        <w:pStyle w:val="FirstParagraph"/>
      </w:pPr>
      <w:r>
        <w:t xml:space="preserve">The emissions are categorized according to the GHG Protocol as follows:</w:t>
      </w:r>
    </w:p>
    <w:p>
      <w:pPr>
        <w:numPr>
          <w:ilvl w:val="0"/>
          <w:numId w:val="1005"/>
        </w:numPr>
        <w:pStyle w:val="Compact"/>
      </w:pPr>
      <w:r>
        <w:rPr>
          <w:bCs/>
          <w:b/>
        </w:rPr>
        <w:t xml:space="preserve">Scope 1 Emissions:</w:t>
      </w:r>
      <w:r>
        <w:t xml:space="preserve"> </w:t>
      </w:r>
      <w:r>
        <w:t xml:space="preserve">0.000 kg CO2e (No direct emissions from owned/controlled sources explicitly identified for product manufacturing in this scope, process emissions are part of Scope 3 for raw materials).</w:t>
      </w:r>
    </w:p>
    <w:p>
      <w:pPr>
        <w:numPr>
          <w:ilvl w:val="0"/>
          <w:numId w:val="1005"/>
        </w:numPr>
        <w:pStyle w:val="Compact"/>
      </w:pPr>
      <w:r>
        <w:rPr>
          <w:bCs/>
          <w:b/>
        </w:rPr>
        <w:t xml:space="preserve">Scope 2 Emissions:</w:t>
      </w:r>
      <w:r>
        <w:t xml:space="preserve"> </w:t>
      </w:r>
      <w:r>
        <w:t xml:space="preserve">1.225 kg CO2e (Attributable to purchased electricity for manufacturing in China).</w:t>
      </w:r>
    </w:p>
    <w:p>
      <w:pPr>
        <w:numPr>
          <w:ilvl w:val="0"/>
          <w:numId w:val="1005"/>
        </w:numPr>
        <w:pStyle w:val="Compact"/>
      </w:pPr>
      <w:r>
        <w:rPr>
          <w:bCs/>
          <w:b/>
        </w:rPr>
        <w:t xml:space="preserve">Scope 3 Emissions:</w:t>
      </w:r>
      <w:r>
        <w:t xml:space="preserve"> </w:t>
      </w:r>
      <w:r>
        <w:t xml:space="preserve">16.706 kg CO2e (Comprising all upstream and downstream value chain emissions, representing approximately 93.1% of the total PCF, which aims for 95% compliance by covering significant categories).</w:t>
      </w:r>
    </w:p>
    <w:p>
      <w:pPr>
        <w:numPr>
          <w:ilvl w:val="0"/>
          <w:numId w:val="1005"/>
        </w:numPr>
        <w:pStyle w:val="Compact"/>
      </w:pPr>
      <w:r>
        <w:rPr>
          <w:bCs/>
          <w:b/>
        </w:rPr>
        <w:t xml:space="preserve">Total PCF:</w:t>
      </w:r>
      <w:r>
        <w:t xml:space="preserve"> </w:t>
      </w:r>
      <w:r>
        <w:t xml:space="preserve">17.931 kg CO2e</w:t>
      </w:r>
    </w:p>
    <w:p>
      <w:pPr>
        <w:pStyle w:val="FirstParagraph"/>
      </w:pPr>
      <w:r>
        <w:t xml:space="preserve">Note: The Scope 3 coverage, while aiming for 95%, may have slight variations based on the granularity of data. All major categories have been included and quantified to the best extent possible with the provided parameters.</w:t>
      </w:r>
    </w:p>
    <w:p>
      <w:r>
        <w:pict>
          <v:rect style="width:0;height:1.5pt" o:hralign="center" o:hrstd="t" o:hr="t"/>
        </w:pict>
      </w:r>
    </w:p>
    <w:bookmarkEnd w:id="36"/>
    <w:bookmarkEnd w:id="37"/>
    <w:bookmarkStart w:id="41" w:name="review-report-hotspots-and-reliability"/>
    <w:p>
      <w:pPr>
        <w:pStyle w:val="Heading2"/>
      </w:pPr>
      <w:r>
        <w:t xml:space="preserve">5. Review &amp; Report: Hotspots and Reliability</w:t>
      </w:r>
    </w:p>
    <w:bookmarkStart w:id="38" w:name="emission-hotspots"/>
    <w:p>
      <w:pPr>
        <w:pStyle w:val="Heading3"/>
      </w:pPr>
      <w:r>
        <w:t xml:space="preserve">5.1 Emission Hotspots</w:t>
      </w:r>
    </w:p>
    <w:p>
      <w:pPr>
        <w:pStyle w:val="FirstParagraph"/>
      </w:pPr>
      <w:r>
        <w:t xml:space="preserve">The analysis clearly identifies the following major emission hotspots for qtxhnsvzqy:</w:t>
      </w:r>
    </w:p>
    <w:p>
      <w:pPr>
        <w:numPr>
          <w:ilvl w:val="0"/>
          <w:numId w:val="1006"/>
        </w:numPr>
        <w:pStyle w:val="Compact"/>
      </w:pPr>
      <w:r>
        <w:rPr>
          <w:bCs/>
          <w:b/>
        </w:rPr>
        <w:t xml:space="preserve">Material Acquisition &amp; Production (Scope 3):</w:t>
      </w:r>
      <w:r>
        <w:t xml:space="preserve"> </w:t>
      </w:r>
      <w:r>
        <w:t xml:space="preserve">Representing 56.9% of the total PCF, particularly driven by the Li-ion battery and other electronic components.</w:t>
      </w:r>
    </w:p>
    <w:p>
      <w:pPr>
        <w:numPr>
          <w:ilvl w:val="0"/>
          <w:numId w:val="1006"/>
        </w:numPr>
        <w:pStyle w:val="Compact"/>
      </w:pPr>
      <w:r>
        <w:rPr>
          <w:bCs/>
          <w:b/>
        </w:rPr>
        <w:t xml:space="preserve">Product Use Phase (Scope 3):</w:t>
      </w:r>
      <w:r>
        <w:t xml:space="preserve"> </w:t>
      </w:r>
      <w:r>
        <w:t xml:space="preserve">Contributing 36.6% to the total PCF, primarily due to electricity consumption over the product\'s lifespan.</w:t>
      </w:r>
    </w:p>
    <w:bookmarkEnd w:id="38"/>
    <w:bookmarkStart w:id="40" w:name="reliability-and-recommendations"/>
    <w:p>
      <w:pPr>
        <w:pStyle w:val="Heading3"/>
      </w:pPr>
      <w:r>
        <w:t xml:space="preserve">5.2 Reliability and Recommendations</w:t>
      </w:r>
    </w:p>
    <w:p>
      <w:pPr>
        <w:pStyle w:val="FirstParagraph"/>
      </w:pPr>
      <w:r>
        <w:t xml:space="preserve">The reliability of this report is high for the data points provided, utilizing specific BOM and energy data. However, generic emission factors for certain processes or materials introduce some level of uncertainty, typical for PCF studies. The active circular/take-back programs by swmxfhveqw positively impact the End-of-Life phase, showing a net credit for this stage.</w:t>
      </w:r>
    </w:p>
    <w:bookmarkStart w:id="39" w:name="recommendations-for-emission-reduction"/>
    <w:p>
      <w:pPr>
        <w:pStyle w:val="Heading4"/>
      </w:pPr>
      <w:r>
        <w:t xml:space="preserve">Recommendations for Emission Reduction:</w:t>
      </w:r>
    </w:p>
    <w:p>
      <w:pPr>
        <w:numPr>
          <w:ilvl w:val="0"/>
          <w:numId w:val="1007"/>
        </w:numPr>
        <w:pStyle w:val="Compact"/>
      </w:pPr>
      <w:r>
        <w:rPr>
          <w:bCs/>
          <w:b/>
        </w:rPr>
        <w:t xml:space="preserve">Material Optimization:</w:t>
      </w:r>
      <w:r>
        <w:t xml:space="preserve"> </w:t>
      </w:r>
      <w:r>
        <w:t xml:space="preserve">Focus on redesigning the product to use lower-impact materials, or increase recycled content for high-impact components like plastics and aluminum. Engage with suppliers to improve the environmental performance of raw material production, especially for batteries and PCBs.</w:t>
      </w:r>
    </w:p>
    <w:p>
      <w:pPr>
        <w:numPr>
          <w:ilvl w:val="0"/>
          <w:numId w:val="1007"/>
        </w:numPr>
        <w:pStyle w:val="Compact"/>
      </w:pPr>
      <w:r>
        <w:rPr>
          <w:bCs/>
          <w:b/>
        </w:rPr>
        <w:t xml:space="preserve">Energy Efficiency in Use:</w:t>
      </w:r>
      <w:r>
        <w:t xml:space="preserve"> </w:t>
      </w:r>
      <w:r>
        <w:t xml:space="preserve">Investigate opportunities to reduce the product\'s energy consumption during its use phase. This could involve more efficient components, power-saving modes, or educational initiatives for users.</w:t>
      </w:r>
    </w:p>
    <w:p>
      <w:pPr>
        <w:numPr>
          <w:ilvl w:val="0"/>
          <w:numId w:val="1007"/>
        </w:numPr>
        <w:pStyle w:val="Compact"/>
      </w:pPr>
      <w:r>
        <w:rPr>
          <w:bCs/>
          <w:b/>
        </w:rPr>
        <w:t xml:space="preserve">Renewable Energy Adoption:</w:t>
      </w:r>
      <w:r>
        <w:t xml:space="preserve"> </w:t>
      </w:r>
      <w:r>
        <w:t xml:space="preserve">Increase the percentage of renewable energy used in manufacturing facilities, particularly in China, to further reduce Scope 2 emissions.</w:t>
      </w:r>
    </w:p>
    <w:p>
      <w:pPr>
        <w:numPr>
          <w:ilvl w:val="0"/>
          <w:numId w:val="1007"/>
        </w:numPr>
        <w:pStyle w:val="Compact"/>
      </w:pPr>
      <w:r>
        <w:rPr>
          <w:bCs/>
          <w:b/>
        </w:rPr>
        <w:t xml:space="preserve">Circular Economy Enhancement:</w:t>
      </w:r>
      <w:r>
        <w:t xml:space="preserve"> </w:t>
      </w:r>
      <w:r>
        <w:t xml:space="preserve">Expand and promote existing take-back and refurbishment programs to maximize product lifespan extension and material recovery, further enhancing the EoL credit.</w:t>
      </w:r>
    </w:p>
    <w:p>
      <w:pPr>
        <w:numPr>
          <w:ilvl w:val="0"/>
          <w:numId w:val="1007"/>
        </w:numPr>
        <w:pStyle w:val="Compact"/>
      </w:pPr>
      <w:r>
        <w:rPr>
          <w:bCs/>
          <w:b/>
        </w:rPr>
        <w:t xml:space="preserve">Supplier Engagement:</w:t>
      </w:r>
      <w:r>
        <w:t xml:space="preserve"> </w:t>
      </w:r>
      <w:r>
        <w:t xml:space="preserve">Collaborate with upstream suppliers (Scope 3) to gather more primary data and encourage them to reduce their own emissions, improving the accuracy and impact reduction potential across the entire supply chain.</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qtxhnsvzqy</dc:title>
  <dc:creator/>
  <dc:description>Detailed Product Carbon Footprint (PCF) analysis report for product qtxhnsvzqy by swmxfhveqw, following GHG Protocol standards and 2026 LSR updates.</dc:description>
  <dc:language>en</dc:language>
  <cp:keywords/>
  <dcterms:created xsi:type="dcterms:W3CDTF">2026-07-16T04:30:39Z</dcterms:created>
  <dcterms:modified xsi:type="dcterms:W3CDTF">2026-07-16T04:30:39Z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