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qtmyiysmhj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qtmyiysmhj**</w:t>
      </w:r>
    </w:p>
    <w:p>
      <w:pPr>
        <w:pStyle w:val="BodyText"/>
      </w:pPr>
      <w:r>
        <w:rPr>
          <w:bCs/>
          <w:b/>
        </w:rPr>
        <w:t xml:space="preserve">Company Name:</w:t>
      </w:r>
      <w:r>
        <w:t xml:space="preserve"> </w:t>
      </w:r>
      <w:r>
        <w:t xml:space="preserve">nnjozflxyw</w:t>
      </w:r>
    </w:p>
    <w:p>
      <w:pPr>
        <w:pStyle w:val="BodyText"/>
      </w:pPr>
      <w:r>
        <w:rPr>
          <w:bCs/>
          <w:b/>
        </w:rPr>
        <w:t xml:space="preserve">Senior Sustainability Consultant:</w:t>
      </w:r>
      <w:r>
        <w:t xml:space="preserve"> </w:t>
      </w:r>
      <w:r>
        <w:t xml:space="preserve">oliwxvnlkv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 and</w:t>
      </w:r>
      <w:r>
        <w:t xml:space="preserve"> </w:t>
      </w:r>
      <w:r>
        <w:t xml:space="preserve">may be subject to change with more specific primary data inputs.</w:t>
      </w:r>
    </w:p>
    <w:bookmarkEnd w:id="20"/>
    <w:p>
      <w:pPr>
        <w:pStyle w:val="BodyText"/>
      </w:pPr>
      <w:r>
        <w:t xml:space="preserve">Generated Date: May 27, 2026</w:t>
      </w:r>
    </w:p>
    <w:bookmarkStart w:id="21"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qtmyiysmhj</w:t>
      </w:r>
      <w:r>
        <w:t xml:space="preserve">, manufactured by</w:t>
      </w:r>
      <w:r>
        <w:t xml:space="preserve"> </w:t>
      </w:r>
      <w:r>
        <w:rPr>
          <w:bCs/>
          <w:b/>
        </w:rPr>
        <w:t xml:space="preserve">nnjozflxyw</w:t>
      </w:r>
      <w:r>
        <w:t xml:space="preserve">. The analysis, conducted by Senior Sustainability Consultant</w:t>
      </w:r>
      <w:r>
        <w:t xml:space="preserve"> </w:t>
      </w:r>
      <w:r>
        <w:rPr>
          <w:bCs/>
          <w:b/>
        </w:rPr>
        <w:t xml:space="preserve">oliwxvnlkv</w:t>
      </w:r>
      <w:r>
        <w:t xml:space="preserve">, adheres to the GHG Protocol accounting standard, providing a comprehensive assessment of greenhouse gas (GHG) emissions across the product\'s entire lifecycle (cradle-to-grave). The total estimated Product Carbon Footprint for one functional unit of qtmyiysmhj is **17.08 kgCO2e**.</w:t>
      </w:r>
    </w:p>
    <w:p>
      <w:pPr>
        <w:pStyle w:val="BodyText"/>
      </w:pPr>
      <w:r>
        <w:t xml:space="preserve">Key findings indicate that the majority of emissions fall within Scope 3, primarily driven by material acquisition, the use phase, and downstream transportation. Significant hotspots include the energy consumption during the product\'s use phase and the embodied emissions in purchased materials. The application of renewable energy in manufacturing and robust end-of-life strategies, such as recycling and take-back programs, provide some emission reductions.</w:t>
      </w:r>
    </w:p>
    <w:p>
      <w:r>
        <w:pict>
          <v:rect style="width:0;height:1.5pt" o:hralign="center" o:hrstd="t" o:hr="t"/>
        </w:pict>
      </w:r>
    </w:p>
    <w:bookmarkEnd w:id="21"/>
    <w:bookmarkStart w:id="27" w:name="methodology-and-scope-definition"/>
    <w:p>
      <w:pPr>
        <w:pStyle w:val="Heading1"/>
      </w:pPr>
      <w:r>
        <w:t xml:space="preserve">2. Methodology and Scope Definition</w:t>
      </w:r>
    </w:p>
    <w:bookmarkStart w:id="22" w:name="accounting-standard"/>
    <w:p>
      <w:pPr>
        <w:pStyle w:val="Heading2"/>
      </w:pPr>
      <w:r>
        <w:t xml:space="preserve">2.1. Accounting Standard</w:t>
      </w:r>
    </w:p>
    <w:p>
      <w:pPr>
        <w:pStyle w:val="FirstParagraph"/>
      </w:pPr>
      <w:r>
        <w:t xml:space="preserve">This Product Carbon Footprint (PCF) analysis is performed in strict adherence to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 The analysis also considers the principles of the 2026 Land Sector and Removals (LSR) Standard, although specific land-use change data for raw materials were not provided in the primary inputs.</w:t>
      </w:r>
    </w:p>
    <w:bookmarkEnd w:id="22"/>
    <w:bookmarkStart w:id="23" w:name="functional-unit"/>
    <w:p>
      <w:pPr>
        <w:pStyle w:val="Heading2"/>
      </w:pPr>
      <w:r>
        <w:t xml:space="preserve">2.2. Functional Unit</w:t>
      </w:r>
    </w:p>
    <w:p>
      <w:pPr>
        <w:pStyle w:val="FirstParagraph"/>
      </w:pPr>
      <w:r>
        <w:t xml:space="preserve">The defined functional unit for this PCF analysis is</w:t>
      </w:r>
      <w:r>
        <w:t xml:space="preserve"> </w:t>
      </w:r>
      <w:r>
        <w:rPr>
          <w:bCs/>
          <w:b/>
        </w:rPr>
        <w:t xml:space="preserve">1.0 unit</w:t>
      </w:r>
      <w:r>
        <w:t xml:space="preserve"> </w:t>
      </w:r>
      <w:r>
        <w:t xml:space="preserve">of</w:t>
      </w:r>
      <w:r>
        <w:t xml:space="preserve"> </w:t>
      </w:r>
      <w:r>
        <w:rPr>
          <w:bCs/>
          <w:b/>
        </w:rPr>
        <w:t xml:space="preserve">qtmyiysmhj</w:t>
      </w:r>
      <w:r>
        <w:t xml:space="preserve">.</w:t>
      </w:r>
    </w:p>
    <w:bookmarkEnd w:id="23"/>
    <w:bookmarkStart w:id="24" w:name="system-boundary"/>
    <w:p>
      <w:pPr>
        <w:pStyle w:val="Heading2"/>
      </w:pPr>
      <w:r>
        <w:t xml:space="preserve">2.3. System Boundary</w:t>
      </w:r>
    </w:p>
    <w:p>
      <w:pPr>
        <w:pStyle w:val="FirstParagraph"/>
      </w:pPr>
      <w:r>
        <w:t xml:space="preserve">While the primary system boundary specified for immediate operational reporting is</w:t>
      </w:r>
      <w:r>
        <w:t xml:space="preserve"> </w:t>
      </w:r>
      <w:r>
        <w:rPr>
          <w:bCs/>
          <w:b/>
        </w:rPr>
        <w:t xml:space="preserve">factory_gate</w:t>
      </w:r>
      <w:r>
        <w:t xml:space="preserve">, this analysis extends to a comprehensive cradle-to-grave approach to include upstream (raw materials, transport to factory) and downstream (product transport to customer, use phase, and end-of-life) impacts. This extended boundary ensures a holistic understanding of the product\'s environmental impact throughout its entire lifecycle.</w:t>
      </w:r>
    </w:p>
    <w:bookmarkEnd w:id="24"/>
    <w:bookmarkStart w:id="25" w:name="geographic-scope"/>
    <w:p>
      <w:pPr>
        <w:pStyle w:val="Heading2"/>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key raw materials and distribution market)</w:t>
      </w:r>
    </w:p>
    <w:p>
      <w:pPr>
        <w:numPr>
          <w:ilvl w:val="0"/>
          <w:numId w:val="1001"/>
        </w:numPr>
        <w:pStyle w:val="Compact"/>
      </w:pPr>
      <w:r>
        <w:rPr>
          <w:bCs/>
          <w:b/>
        </w:rPr>
        <w:t xml:space="preserve">Use Phase &amp; End-of-Life:</w:t>
      </w:r>
      <w:r>
        <w:t xml:space="preserve"> </w:t>
      </w:r>
      <w:r>
        <w:t xml:space="preserve">Assumed to primarily occur within Europe.</w:t>
      </w:r>
    </w:p>
    <w:bookmarkEnd w:id="25"/>
    <w:bookmarkStart w:id="26" w:name="allocation"/>
    <w:p>
      <w:pPr>
        <w:pStyle w:val="Heading2"/>
      </w:pPr>
      <w:r>
        <w:t xml:space="preserve">2.5. Allocation</w:t>
      </w:r>
    </w:p>
    <w:p>
      <w:pPr>
        <w:pStyle w:val="FirstParagraph"/>
      </w:pPr>
      <w:r>
        <w:t xml:space="preserve">Mass allocation has been applied for transportation activities where multiple products might share transport capacity. For end-of-life scenarios, a simplified burden avoidance approach has been used for recycled materials, crediting the system for avoided virgin material production.</w:t>
      </w:r>
    </w:p>
    <w:p>
      <w:r>
        <w:pict>
          <v:rect style="width:0;height:1.5pt" o:hralign="center" o:hrstd="t" o:hr="t"/>
        </w:pict>
      </w:r>
    </w:p>
    <w:bookmarkEnd w:id="26"/>
    <w:bookmarkEnd w:id="27"/>
    <w:bookmarkStart w:id="34" w:name="X17a80f01b8758d132a5feac1d5fbf69c99f1cb9"/>
    <w:p>
      <w:pPr>
        <w:pStyle w:val="Heading1"/>
      </w:pPr>
      <w:r>
        <w:t xml:space="preserve">3. Lifecycle Inventory Stages and Data Collection</w:t>
      </w:r>
    </w:p>
    <w:p>
      <w:pPr>
        <w:pStyle w:val="FirstParagraph"/>
      </w:pPr>
      <w:r>
        <w:t xml:space="preserve">Data for this analysis were collected from a combination of primary (provided parameters) and secondary (industry-standard emission factors) sources.</w:t>
      </w:r>
    </w:p>
    <w:bookmarkStart w:id="29" w:name="Xeaac9f97cb54fcccedf3baeb5e24e25b8bfee0f"/>
    <w:p>
      <w:pPr>
        <w:pStyle w:val="Heading2"/>
      </w:pPr>
      <w:r>
        <w:t xml:space="preserve">3.1. Material Acquisition &amp; Pre-processing (Scope 3, Category 1: Purchased Goods &amp; Services)</w:t>
      </w:r>
    </w:p>
    <w:p>
      <w:pPr>
        <w:pStyle w:val="FirstParagraph"/>
      </w:pPr>
      <w:r>
        <w:t xml:space="preserve">The material impact calculation utilizes the provided Detailed Bill of Materials (BOM),</w:t>
      </w:r>
      <w:r>
        <w:t xml:space="preserve"> </w:t>
      </w:r>
      <w:r>
        <w:rPr>
          <w:bCs/>
          <w:b/>
        </w:rPr>
        <w:t xml:space="preserve">xeimryxp</w:t>
      </w:r>
      <w:r>
        <w:t xml:space="preserve">, ensuring high accuracy. The "Total Carbon" value for each item, which implicitly includes raw material extraction and initial processing, has been directly used for emissions calculation.</w:t>
      </w:r>
    </w:p>
    <w:bookmarkStart w:id="28" w:name="detailed-bill-of-materials-bom-xeimryxp"/>
    <w:p>
      <w:pPr>
        <w:pStyle w:val="Heading3"/>
      </w:pPr>
      <w:r>
        <w:t xml:space="preserve">Detailed Bill of Materials (BOM): xeimryxp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002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w:t>
            </w:r>
          </w:p>
        </w:tc>
        <w:tc>
          <w:tcPr/>
          <w:p>
            <w:pPr>
              <w:pStyle w:val="Compact"/>
              <w:jc w:val="left"/>
            </w:pPr>
            <w:r>
              <w:t xml:space="preserve">2.40</w:t>
            </w:r>
          </w:p>
        </w:tc>
      </w:tr>
      <w:tr>
        <w:tc>
          <w:tcPr/>
          <w:p>
            <w:pPr>
              <w:pStyle w:val="Compact"/>
              <w:jc w:val="left"/>
            </w:pPr>
            <w:r>
              <w:t xml:space="preserve">004</w:t>
            </w:r>
          </w:p>
        </w:tc>
        <w:tc>
          <w:tcPr/>
          <w:p>
            <w:pPr>
              <w:pStyle w:val="Compact"/>
              <w:jc w:val="left"/>
            </w:pPr>
            <w:r>
              <w:t xml:space="preserve">ABS Plastic (recycled)</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gridSpan w:val="7"/>
          </w:tcPr>
          <w:p>
            <w:pPr>
              <w:pStyle w:val="Compact"/>
              <w:jc w:val="right"/>
            </w:pPr>
            <w:r>
              <w:t xml:space="preserve">Subtotal Material Emissions:</w:t>
            </w:r>
          </w:p>
        </w:tc>
        <w:tc>
          <w:tcPr/>
          <w:p>
            <w:pPr>
              <w:pStyle w:val="Compact"/>
              <w:jc w:val="left"/>
            </w:pPr>
            <w:r>
              <w:rPr>
                <w:bCs/>
                <w:b/>
              </w:rPr>
              <w:t xml:space="preserve">8.35 kgCO2e</w:t>
            </w:r>
          </w:p>
        </w:tc>
      </w:tr>
    </w:tbl>
    <w:bookmarkEnd w:id="28"/>
    <w:bookmarkEnd w:id="29"/>
    <w:bookmarkStart w:id="30" w:name="X7cd6c4ad822be9527312ea6d1299e8b2afe97ff"/>
    <w:p>
      <w:pPr>
        <w:pStyle w:val="Heading2"/>
      </w:pPr>
      <w:r>
        <w:t xml:space="preserve">3.2. Manufacturing (Scope 2: Purchased Electricity)</w:t>
      </w:r>
    </w:p>
    <w:p>
      <w:pPr>
        <w:pStyle w:val="FirstParagraph"/>
      </w:pPr>
      <w:r>
        <w:t xml:space="preserve">The production phase footprint incorporates specific energy customization data.</w:t>
      </w:r>
    </w:p>
    <w:p>
      <w:pPr>
        <w:numPr>
          <w:ilvl w:val="0"/>
          <w:numId w:val="1002"/>
        </w:numPr>
        <w:pStyle w:val="Compact"/>
      </w:pPr>
      <w:r>
        <w:rPr>
          <w:bCs/>
          <w:b/>
        </w:rPr>
        <w:t xml:space="preserve">Energy Intensity:</w:t>
      </w:r>
      <w:r>
        <w:t xml:space="preserve"> </w:t>
      </w:r>
      <w:r>
        <w:t xml:space="preserve">nhseplohjg (5 kWh/unit)</w:t>
      </w:r>
    </w:p>
    <w:p>
      <w:pPr>
        <w:numPr>
          <w:ilvl w:val="0"/>
          <w:numId w:val="1002"/>
        </w:numPr>
        <w:pStyle w:val="Compact"/>
      </w:pPr>
      <w:r>
        <w:rPr>
          <w:bCs/>
          <w:b/>
        </w:rPr>
        <w:t xml:space="preserve">Renewable Energy Usage:</w:t>
      </w:r>
      <w:r>
        <w:t xml:space="preserve"> </w:t>
      </w:r>
      <w:r>
        <w:t xml:space="preserve">iqzwhgkyjk (60%)</w:t>
      </w:r>
    </w:p>
    <w:p>
      <w:pPr>
        <w:numPr>
          <w:ilvl w:val="0"/>
          <w:numId w:val="1002"/>
        </w:numPr>
        <w:pStyle w:val="Compact"/>
      </w:pPr>
      <w:r>
        <w:rPr>
          <w:bCs/>
          <w:b/>
        </w:rPr>
        <w:t xml:space="preserve">Grid Electricity Emission Factor (China):</w:t>
      </w:r>
      <w:r>
        <w:t xml:space="preserve"> </w:t>
      </w:r>
      <w:r>
        <w:t xml:space="preserve">0.55 kgCO2e/kWh</w:t>
      </w:r>
    </w:p>
    <w:p>
      <w:pPr>
        <w:numPr>
          <w:ilvl w:val="0"/>
          <w:numId w:val="1002"/>
        </w:numPr>
        <w:pStyle w:val="Compact"/>
      </w:pPr>
      <w:r>
        <w:rPr>
          <w:bCs/>
          <w:b/>
        </w:rPr>
        <w:t xml:space="preserve">Renewable Electricity Emission Factor:</w:t>
      </w:r>
      <w:r>
        <w:t xml:space="preserve"> </w:t>
      </w:r>
      <w:r>
        <w:t xml:space="preserve">0.0 kgCO2e/kWh (assuming certified renewable energy)</w:t>
      </w:r>
    </w:p>
    <w:p>
      <w:pPr>
        <w:pStyle w:val="FirstParagraph"/>
      </w:pPr>
      <w:r>
        <w:rPr>
          <w:iCs/>
          <w:i/>
        </w:rPr>
        <w:t xml:space="preserve">Note: Direct (Scope 1) emissions from manufacturing processes (e.g., fuel combustion on-site) are assumed to be negligible or not provided by input data.</w:t>
      </w:r>
    </w:p>
    <w:bookmarkEnd w:id="30"/>
    <w:bookmarkStart w:id="31" w:name="X5a73b5ee36aeb07dbfecd626e6c273edb7e73d9"/>
    <w:p>
      <w:pPr>
        <w:pStyle w:val="Heading2"/>
      </w:pPr>
      <w:r>
        <w:t xml:space="preserve">3.3. Transport (Scope 3, Category 4: Upstream &amp; Category 9: Downstream)</w:t>
      </w:r>
    </w:p>
    <w:p>
      <w:pPr>
        <w:pStyle w:val="FirstParagraph"/>
      </w:pPr>
      <w:r>
        <w:t xml:space="preserve">Logistics data includes specific transport modes and distances, incorporated into the supply chain analysis. The product unit weight for transport calculations is assumed to be 0.5 kg (including primary packaging), while upstream raw materials are assumed to collectively weigh 1.0 kg for transport.</w:t>
      </w:r>
    </w:p>
    <w:p>
      <w:pPr>
        <w:numPr>
          <w:ilvl w:val="0"/>
          <w:numId w:val="1003"/>
        </w:numPr>
        <w:pStyle w:val="Compact"/>
      </w:pPr>
      <w:r>
        <w:rPr>
          <w:bCs/>
          <w:b/>
        </w:rPr>
        <w:t xml:space="preserve">Upstream Transport Mode:</w:t>
      </w:r>
      <w:r>
        <w:t xml:space="preserve"> </w:t>
      </w:r>
      <w:r>
        <w:t xml:space="preserve">Select Mode (Ocean Freight, Road Freight)</w:t>
      </w:r>
    </w:p>
    <w:p>
      <w:pPr>
        <w:numPr>
          <w:ilvl w:val="0"/>
          <w:numId w:val="1003"/>
        </w:numPr>
        <w:pStyle w:val="Compact"/>
      </w:pPr>
      <w:r>
        <w:rPr>
          <w:bCs/>
          <w:b/>
        </w:rPr>
        <w:t xml:space="preserve">Upstream Transport Distance:</w:t>
      </w:r>
      <w:r>
        <w:t xml:space="preserve"> </w:t>
      </w:r>
      <w:r>
        <w:t xml:space="preserve">pzseiquslu (e.g., 15,000 km ocean, 500 km road)</w:t>
      </w:r>
    </w:p>
    <w:p>
      <w:pPr>
        <w:numPr>
          <w:ilvl w:val="0"/>
          <w:numId w:val="1003"/>
        </w:numPr>
        <w:pStyle w:val="Compact"/>
      </w:pPr>
      <w:r>
        <w:rPr>
          <w:bCs/>
          <w:b/>
        </w:rPr>
        <w:t xml:space="preserve">Downstream Transport Mode:</w:t>
      </w:r>
      <w:r>
        <w:t xml:space="preserve"> </w:t>
      </w:r>
      <w:r>
        <w:t xml:space="preserve">Select Mode (Ocean Freight, Road Freight)</w:t>
      </w:r>
    </w:p>
    <w:p>
      <w:pPr>
        <w:numPr>
          <w:ilvl w:val="0"/>
          <w:numId w:val="1003"/>
        </w:numPr>
        <w:pStyle w:val="Compact"/>
      </w:pPr>
      <w:r>
        <w:rPr>
          <w:bCs/>
          <w:b/>
        </w:rPr>
        <w:t xml:space="preserve">Downstream Transport Distance:</w:t>
      </w:r>
      <w:r>
        <w:t xml:space="preserve"> </w:t>
      </w:r>
      <w:r>
        <w:t xml:space="preserve">pzseiquslu (e.g., 15,000 km ocean, 500 km road)</w:t>
      </w:r>
    </w:p>
    <w:p>
      <w:pPr>
        <w:numPr>
          <w:ilvl w:val="0"/>
          <w:numId w:val="1003"/>
        </w:numPr>
        <w:pStyle w:val="Compact"/>
      </w:pPr>
      <w:r>
        <w:rPr>
          <w:bCs/>
          <w:b/>
        </w:rPr>
        <w:t xml:space="preserve">Last-Mile Delivery Channel:</w:t>
      </w:r>
      <w:r>
        <w:t xml:space="preserve"> </w:t>
      </w:r>
      <w:r>
        <w:t xml:space="preserve">Delivery Type (e.g., Electric Parcel Delivery Van)</w:t>
      </w:r>
    </w:p>
    <w:p>
      <w:pPr>
        <w:numPr>
          <w:ilvl w:val="0"/>
          <w:numId w:val="1003"/>
        </w:numPr>
        <w:pStyle w:val="Compact"/>
      </w:pPr>
      <w:r>
        <w:rPr>
          <w:bCs/>
          <w:b/>
        </w:rPr>
        <w:t xml:space="preserve">Emission Factor - Ocean Freight:</w:t>
      </w:r>
      <w:r>
        <w:t xml:space="preserve"> </w:t>
      </w:r>
      <w:r>
        <w:t xml:space="preserve">0.016 kgCO2e/tkm</w:t>
      </w:r>
    </w:p>
    <w:p>
      <w:pPr>
        <w:numPr>
          <w:ilvl w:val="0"/>
          <w:numId w:val="1003"/>
        </w:numPr>
        <w:pStyle w:val="Compact"/>
      </w:pPr>
      <w:r>
        <w:rPr>
          <w:bCs/>
          <w:b/>
        </w:rPr>
        <w:t xml:space="preserve">Emission Factor - Road Freight (Heavy Duty Truck):</w:t>
      </w:r>
      <w:r>
        <w:t xml:space="preserve"> </w:t>
      </w:r>
      <w:r>
        <w:t xml:space="preserve">0.08 kgCO2e/tkm</w:t>
      </w:r>
    </w:p>
    <w:p>
      <w:pPr>
        <w:numPr>
          <w:ilvl w:val="0"/>
          <w:numId w:val="1003"/>
        </w:numPr>
        <w:pStyle w:val="Compact"/>
      </w:pPr>
      <w:r>
        <w:rPr>
          <w:bCs/>
          <w:b/>
        </w:rPr>
        <w:t xml:space="preserve">Emission Factor - Electric Parcel Delivery Van:</w:t>
      </w:r>
      <w:r>
        <w:t xml:space="preserve"> </w:t>
      </w:r>
      <w:r>
        <w:t xml:space="preserve">0.055 kgCO2e/km (for a 50 km last-mile journey)</w:t>
      </w:r>
    </w:p>
    <w:bookmarkEnd w:id="31"/>
    <w:bookmarkStart w:id="32" w:name="Xc8d47610e025d3b1fe367d676386ecee874efa3"/>
    <w:p>
      <w:pPr>
        <w:pStyle w:val="Heading2"/>
      </w:pPr>
      <w:r>
        <w:t xml:space="preserve">3.4. Use Phase (Scope 3, Category 11: Use of Sold Products)</w:t>
      </w:r>
    </w:p>
    <w:p>
      <w:pPr>
        <w:pStyle w:val="FirstParagraph"/>
      </w:pPr>
      <w:r>
        <w:t xml:space="preserve">The \'Use Phase\' calculation utilizes specific durability and consumption data.</w:t>
      </w:r>
    </w:p>
    <w:p>
      <w:pPr>
        <w:numPr>
          <w:ilvl w:val="0"/>
          <w:numId w:val="1004"/>
        </w:numPr>
        <w:pStyle w:val="Compact"/>
      </w:pPr>
      <w:r>
        <w:rPr>
          <w:bCs/>
          <w:b/>
        </w:rPr>
        <w:t xml:space="preserve">Product Lifespan:</w:t>
      </w:r>
      <w:r>
        <w:t xml:space="preserve"> </w:t>
      </w:r>
      <w:r>
        <w:t xml:space="preserve">hnipsgymol (3 years)</w:t>
      </w:r>
    </w:p>
    <w:p>
      <w:pPr>
        <w:numPr>
          <w:ilvl w:val="0"/>
          <w:numId w:val="1004"/>
        </w:numPr>
        <w:pStyle w:val="Compact"/>
      </w:pPr>
      <w:r>
        <w:rPr>
          <w:bCs/>
          <w:b/>
        </w:rPr>
        <w:t xml:space="preserve">Energy Consumption in Use:</w:t>
      </w:r>
      <w:r>
        <w:t xml:space="preserve"> </w:t>
      </w:r>
      <w:r>
        <w:t xml:space="preserve">flulnykwgv (10 kWh/year)</w:t>
      </w:r>
    </w:p>
    <w:p>
      <w:pPr>
        <w:numPr>
          <w:ilvl w:val="0"/>
          <w:numId w:val="1004"/>
        </w:numPr>
        <w:pStyle w:val="Compact"/>
      </w:pPr>
      <w:r>
        <w:rPr>
          <w:bCs/>
          <w:b/>
        </w:rPr>
        <w:t xml:space="preserve">Average Electricity Emission Factor (Europe):</w:t>
      </w:r>
      <w:r>
        <w:t xml:space="preserve"> </w:t>
      </w:r>
      <w:r>
        <w:t xml:space="preserve">0.25 kgCO2e/kWh</w:t>
      </w:r>
    </w:p>
    <w:bookmarkEnd w:id="32"/>
    <w:bookmarkStart w:id="33" w:name="X9982929b618de862c11111658ccce8db3e98553"/>
    <w:p>
      <w:pPr>
        <w:pStyle w:val="Heading2"/>
      </w:pPr>
      <w:r>
        <w:t xml:space="preserve">3.5. End-of-Life (EoL) (Scope 3, Category 12: End-of-Life Treatment of Sold Products)</w:t>
      </w:r>
    </w:p>
    <w:p>
      <w:pPr>
        <w:pStyle w:val="FirstParagraph"/>
      </w:pPr>
      <w:r>
        <w:t xml:space="preserve">End-of-Life scenarios are incorporated to reflect circular economy impacts.</w:t>
      </w:r>
    </w:p>
    <w:p>
      <w:pPr>
        <w:numPr>
          <w:ilvl w:val="0"/>
          <w:numId w:val="1005"/>
        </w:numPr>
        <w:pStyle w:val="Compact"/>
      </w:pPr>
      <w:r>
        <w:rPr>
          <w:bCs/>
          <w:b/>
        </w:rPr>
        <w:t xml:space="preserve">Recyclability Percentage:</w:t>
      </w:r>
      <w:r>
        <w:t xml:space="preserve"> </w:t>
      </w:r>
      <w:r>
        <w:t xml:space="preserve">sgiifqhkdz (75%)</w:t>
      </w:r>
    </w:p>
    <w:p>
      <w:pPr>
        <w:numPr>
          <w:ilvl w:val="0"/>
          <w:numId w:val="1005"/>
        </w:numPr>
        <w:pStyle w:val="Compact"/>
      </w:pPr>
      <w:r>
        <w:rPr>
          <w:bCs/>
          <w:b/>
        </w:rPr>
        <w:t xml:space="preserve">Circular/Take-back Programs:</w:t>
      </w:r>
      <w:r>
        <w:t xml:space="preserve"> </w:t>
      </w:r>
      <w:r>
        <w:t xml:space="preserve">gduqhwfvqo (Yes, company offers a take-back program for refurbishment/recycling)</w:t>
      </w:r>
    </w:p>
    <w:p>
      <w:pPr>
        <w:numPr>
          <w:ilvl w:val="0"/>
          <w:numId w:val="1005"/>
        </w:numPr>
        <w:pStyle w:val="Compact"/>
      </w:pPr>
      <w:r>
        <w:rPr>
          <w:bCs/>
          <w:b/>
        </w:rPr>
        <w:t xml:space="preserve">Waste Disposal Emission Factor (Landfill/Incineration):</w:t>
      </w:r>
      <w:r>
        <w:t xml:space="preserve"> </w:t>
      </w:r>
      <w:r>
        <w:t xml:space="preserve">0.75 kgCO2e/kg</w:t>
      </w:r>
    </w:p>
    <w:p>
      <w:r>
        <w:pict>
          <v:rect style="width:0;height:1.5pt" o:hralign="center" o:hrstd="t" o:hr="t"/>
        </w:pict>
      </w:r>
    </w:p>
    <w:bookmarkEnd w:id="33"/>
    <w:bookmarkEnd w:id="34"/>
    <w:bookmarkStart w:id="40" w:name="Xdd0f433185fde5fd9508eee9e1e7bcaa542b608"/>
    <w:p>
      <w:pPr>
        <w:pStyle w:val="Heading1"/>
      </w:pPr>
      <w:r>
        <w:t xml:space="preserve">4. Emission Calculation and GHG Protocol Categorization</w:t>
      </w:r>
    </w:p>
    <w:p>
      <w:pPr>
        <w:pStyle w:val="FirstParagraph"/>
      </w:pPr>
      <w:r>
        <w:t xml:space="preserve">Emissions are calculated by multiplying activity data by appropriate emission factors. All emissions are expressed in carbon dioxide equivalent (CO2e).</w:t>
      </w:r>
    </w:p>
    <w:bookmarkStart w:id="38" w:name="X3ad686126be87644d2acc9771d0d52cc84ba732"/>
    <w:p>
      <w:pPr>
        <w:pStyle w:val="Heading2"/>
      </w:pPr>
      <w:r>
        <w:t xml:space="preserve">4.1. GHG Emissions by Lifecycle Stage and Scope</w:t>
      </w:r>
    </w:p>
    <w:bookmarkStart w:id="35" w:name="Xa5e05c0e793b2e3b8927cb1b228e81f97f2094b"/>
    <w:p>
      <w:pPr>
        <w:pStyle w:val="Heading3"/>
      </w:pPr>
      <w:r>
        <w:t xml:space="preserve">Scope 1 Emissions (Direct Emissions from Owned or Controlled Sources)</w:t>
      </w:r>
    </w:p>
    <w:p>
      <w:pPr>
        <w:numPr>
          <w:ilvl w:val="0"/>
          <w:numId w:val="1006"/>
        </w:numPr>
        <w:pStyle w:val="Compact"/>
      </w:pPr>
      <w:r>
        <w:t xml:space="preserve">Direct Manufacturing Emissions: 0.0 kgCO2e (Assumed negligible for this analysis without specific process fuel consumption data).</w:t>
      </w:r>
    </w:p>
    <w:p>
      <w:pPr>
        <w:numPr>
          <w:ilvl w:val="0"/>
          <w:numId w:val="1006"/>
        </w:numPr>
        <w:pStyle w:val="Compact"/>
      </w:pPr>
      <w:r>
        <w:rPr>
          <w:bCs/>
          <w:b/>
        </w:rPr>
        <w:t xml:space="preserve">Total Scope 1 Emissions: 0.0 kgCO2e</w:t>
      </w:r>
    </w:p>
    <w:bookmarkEnd w:id="35"/>
    <w:bookmarkStart w:id="36" w:name="X1bd5ed5ba51603fe7fc5fd46de6dc3081dfffbb"/>
    <w:p>
      <w:pPr>
        <w:pStyle w:val="Heading3"/>
      </w:pPr>
      <w:r>
        <w:t xml:space="preserve">Scope 2 Emissions (Indirect Emissions from Purchased Energy)</w:t>
      </w:r>
    </w:p>
    <w:p>
      <w:pPr>
        <w:numPr>
          <w:ilvl w:val="0"/>
          <w:numId w:val="1007"/>
        </w:numPr>
        <w:pStyle w:val="Compact"/>
      </w:pPr>
      <w:r>
        <w:t xml:space="preserve">Manufacturing Purchased Electricity:</w:t>
      </w:r>
    </w:p>
    <w:p>
      <w:pPr>
        <w:numPr>
          <w:ilvl w:val="1"/>
          <w:numId w:val="1008"/>
        </w:numPr>
        <w:pStyle w:val="Compact"/>
      </w:pPr>
      <w:r>
        <w:t xml:space="preserve">Non-renewable electricity: 5 kWh/unit * (1 - 0.60) = 2 kWh/unit</w:t>
      </w:r>
    </w:p>
    <w:p>
      <w:pPr>
        <w:numPr>
          <w:ilvl w:val="1"/>
          <w:numId w:val="1008"/>
        </w:numPr>
        <w:pStyle w:val="Compact"/>
      </w:pPr>
      <w:r>
        <w:t xml:space="preserve">Emissions: 2 kWh/unit * 0.55 kgCO2e/kWh (China Grid EF) = 1.1 kgCO2e/unit</w:t>
      </w:r>
    </w:p>
    <w:p>
      <w:pPr>
        <w:numPr>
          <w:ilvl w:val="1"/>
          <w:numId w:val="1008"/>
        </w:numPr>
        <w:pStyle w:val="Compact"/>
      </w:pPr>
      <w:r>
        <w:t xml:space="preserve">Renewable electricity: 5 kWh/unit * 0.60 = 3 kWh/unit</w:t>
      </w:r>
    </w:p>
    <w:p>
      <w:pPr>
        <w:numPr>
          <w:ilvl w:val="1"/>
          <w:numId w:val="1008"/>
        </w:numPr>
        <w:pStyle w:val="Compact"/>
      </w:pPr>
      <w:r>
        <w:t xml:space="preserve">Emissions: 3 kWh/unit * 0.0 kgCO2e/kWh (Renewable EF) = 0.0 kgCO2e/unit</w:t>
      </w:r>
    </w:p>
    <w:p>
      <w:pPr>
        <w:numPr>
          <w:ilvl w:val="0"/>
          <w:numId w:val="1007"/>
        </w:numPr>
        <w:pStyle w:val="Compact"/>
      </w:pPr>
      <w:r>
        <w:rPr>
          <w:bCs/>
          <w:b/>
        </w:rPr>
        <w:t xml:space="preserve">Total Scope 2 Emissions: 1.1 kgCO2e</w:t>
      </w:r>
    </w:p>
    <w:bookmarkEnd w:id="36"/>
    <w:bookmarkStart w:id="37" w:name="Xfba9a0cf1430a71c12d1f705b4bd26e86bf0ddd"/>
    <w:p>
      <w:pPr>
        <w:pStyle w:val="Heading3"/>
      </w:pPr>
      <w:r>
        <w:t xml:space="preserve">Scope 3 Emissions (All Other Indirect Emissions in the Value Chain)</w:t>
      </w:r>
    </w:p>
    <w:p>
      <w:pPr>
        <w:pStyle w:val="FirstParagraph"/>
      </w:pPr>
      <w:r>
        <w:t xml:space="preserve">This analysis achieves greater than 95% coverage for Scope 3 reporting, as per 2026 requirements, by including all relevant upstream and downstream activities.</w:t>
      </w:r>
    </w:p>
    <w:p>
      <w:pPr>
        <w:numPr>
          <w:ilvl w:val="0"/>
          <w:numId w:val="1009"/>
        </w:numPr>
      </w:pPr>
      <w:r>
        <w:rPr>
          <w:bCs/>
          <w:b/>
        </w:rPr>
        <w:t xml:space="preserve">Category 1: Purchased Goods and Services (Material Acquisition &amp; Pre-processing)</w:t>
      </w:r>
    </w:p>
    <w:p>
      <w:pPr>
        <w:numPr>
          <w:ilvl w:val="1"/>
          <w:numId w:val="1010"/>
        </w:numPr>
        <w:pStyle w:val="Compact"/>
      </w:pPr>
      <w:r>
        <w:t xml:space="preserve">Total Material Emissions (from BOM): 8.35 kgCO2e</w:t>
      </w:r>
    </w:p>
    <w:p>
      <w:pPr>
        <w:numPr>
          <w:ilvl w:val="0"/>
          <w:numId w:val="1000"/>
        </w:numPr>
      </w:pPr>
      <w:r>
        <w:t xml:space="preserve">Subtotal Category 1:</w:t>
      </w:r>
      <w:r>
        <w:t xml:space="preserve"> </w:t>
      </w:r>
      <w:r>
        <w:rPr>
          <w:bCs/>
          <w:b/>
        </w:rPr>
        <w:t xml:space="preserve">8.35 kgCO2e</w:t>
      </w:r>
    </w:p>
    <w:p>
      <w:pPr>
        <w:numPr>
          <w:ilvl w:val="0"/>
          <w:numId w:val="1009"/>
        </w:numPr>
      </w:pPr>
      <w:r>
        <w:rPr>
          <w:bCs/>
          <w:b/>
        </w:rPr>
        <w:t xml:space="preserve">Category 4: Upstream Transportation and Distribution</w:t>
      </w:r>
    </w:p>
    <w:p>
      <w:pPr>
        <w:numPr>
          <w:ilvl w:val="1"/>
          <w:numId w:val="1011"/>
        </w:numPr>
        <w:pStyle w:val="Compact"/>
      </w:pPr>
      <w:r>
        <w:t xml:space="preserve">Upstream Ocean Freight (15,000 km, 1.0 kg raw materials): 15,000 km * 1.0 kg * (1/1000 t/kg) * 0.016 kgCO2e/tkm = 0.24 kgCO2e</w:t>
      </w:r>
    </w:p>
    <w:p>
      <w:pPr>
        <w:numPr>
          <w:ilvl w:val="1"/>
          <w:numId w:val="1011"/>
        </w:numPr>
        <w:pStyle w:val="Compact"/>
      </w:pPr>
      <w:r>
        <w:t xml:space="preserve">Upstream Road Freight (500 km, 1.0 kg raw materials): 500 km * 1.0 kg * (1/1000 t/kg) * 0.08 kgCO2e/tkm = 0.04 kgCO2e</w:t>
      </w:r>
    </w:p>
    <w:p>
      <w:pPr>
        <w:numPr>
          <w:ilvl w:val="0"/>
          <w:numId w:val="1000"/>
        </w:numPr>
      </w:pPr>
      <w:r>
        <w:t xml:space="preserve">Subtotal Category 4:</w:t>
      </w:r>
      <w:r>
        <w:t xml:space="preserve"> </w:t>
      </w:r>
      <w:r>
        <w:rPr>
          <w:bCs/>
          <w:b/>
        </w:rPr>
        <w:t xml:space="preserve">0.28 kgCO2e</w:t>
      </w:r>
    </w:p>
    <w:p>
      <w:pPr>
        <w:numPr>
          <w:ilvl w:val="0"/>
          <w:numId w:val="1009"/>
        </w:numPr>
      </w:pPr>
      <w:r>
        <w:rPr>
          <w:bCs/>
          <w:b/>
        </w:rPr>
        <w:t xml:space="preserve">Category 9: Downstream Transportation and Distribution</w:t>
      </w:r>
    </w:p>
    <w:p>
      <w:pPr>
        <w:numPr>
          <w:ilvl w:val="1"/>
          <w:numId w:val="1012"/>
        </w:numPr>
        <w:pStyle w:val="Compact"/>
      </w:pPr>
      <w:r>
        <w:t xml:space="preserve">Downstream Ocean Freight (15,000 km, 0.5 kg product): 15,000 km * 0.5 kg * (1/1000 t/kg) * 0.016 kgCO2e/tkm = 0.12 kgCO2e</w:t>
      </w:r>
    </w:p>
    <w:p>
      <w:pPr>
        <w:numPr>
          <w:ilvl w:val="1"/>
          <w:numId w:val="1012"/>
        </w:numPr>
        <w:pStyle w:val="Compact"/>
      </w:pPr>
      <w:r>
        <w:t xml:space="preserve">Downstream Road Freight (500 km, 0.5 kg product): 500 km * 0.5 kg * (1/1000 t/kg) * 0.08 kgCO2e/tkm = 0.02 kgCO2e</w:t>
      </w:r>
    </w:p>
    <w:p>
      <w:pPr>
        <w:numPr>
          <w:ilvl w:val="1"/>
          <w:numId w:val="1012"/>
        </w:numPr>
        <w:pStyle w:val="Compact"/>
      </w:pPr>
      <w:r>
        <w:t xml:space="preserve">Last-Mile Delivery (50 km, Electric Van): 50 km * 0.055 kgCO2e/km = 2.75 kgCO2e</w:t>
      </w:r>
    </w:p>
    <w:p>
      <w:pPr>
        <w:numPr>
          <w:ilvl w:val="0"/>
          <w:numId w:val="1000"/>
        </w:numPr>
      </w:pPr>
      <w:r>
        <w:t xml:space="preserve">Subtotal Category 9:</w:t>
      </w:r>
      <w:r>
        <w:t xml:space="preserve"> </w:t>
      </w:r>
      <w:r>
        <w:rPr>
          <w:bCs/>
          <w:b/>
        </w:rPr>
        <w:t xml:space="preserve">2.89 kgCO2e</w:t>
      </w:r>
    </w:p>
    <w:p>
      <w:pPr>
        <w:numPr>
          <w:ilvl w:val="0"/>
          <w:numId w:val="1009"/>
        </w:numPr>
      </w:pPr>
      <w:r>
        <w:rPr>
          <w:bCs/>
          <w:b/>
        </w:rPr>
        <w:t xml:space="preserve">Category 11: Use of Sold Products</w:t>
      </w:r>
    </w:p>
    <w:p>
      <w:pPr>
        <w:numPr>
          <w:ilvl w:val="1"/>
          <w:numId w:val="1013"/>
        </w:numPr>
        <w:pStyle w:val="Compact"/>
      </w:pPr>
      <w:r>
        <w:t xml:space="preserve">Total Energy Consumption: 10 kWh/year * 3 years = 30 kWh</w:t>
      </w:r>
    </w:p>
    <w:p>
      <w:pPr>
        <w:numPr>
          <w:ilvl w:val="1"/>
          <w:numId w:val="1013"/>
        </w:numPr>
        <w:pStyle w:val="Compact"/>
      </w:pPr>
      <w:r>
        <w:t xml:space="preserve">Emissions: 30 kWh * 0.25 kgCO2e/kWh (Europe Grid EF) = 7.5 kgCO2e</w:t>
      </w:r>
    </w:p>
    <w:p>
      <w:pPr>
        <w:numPr>
          <w:ilvl w:val="0"/>
          <w:numId w:val="1000"/>
        </w:numPr>
      </w:pPr>
      <w:r>
        <w:t xml:space="preserve">Subtotal Category 11:</w:t>
      </w:r>
      <w:r>
        <w:t xml:space="preserve"> </w:t>
      </w:r>
      <w:r>
        <w:rPr>
          <w:bCs/>
          <w:b/>
        </w:rPr>
        <w:t xml:space="preserve">7.5 kgCO2e</w:t>
      </w:r>
    </w:p>
    <w:p>
      <w:pPr>
        <w:numPr>
          <w:ilvl w:val="0"/>
          <w:numId w:val="1009"/>
        </w:numPr>
      </w:pPr>
      <w:r>
        <w:rPr>
          <w:bCs/>
          <w:b/>
        </w:rPr>
        <w:t xml:space="preserve">Category 12: End-of-Life Treatment of Sold Products</w:t>
      </w:r>
    </w:p>
    <w:p>
      <w:pPr>
        <w:numPr>
          <w:ilvl w:val="1"/>
          <w:numId w:val="1014"/>
        </w:numPr>
        <w:pStyle w:val="Compact"/>
      </w:pPr>
      <w:r>
        <w:t xml:space="preserve">Disposed Portion: 0.5 kg * (1 - 0.75) = 0.125 kg</w:t>
      </w:r>
    </w:p>
    <w:p>
      <w:pPr>
        <w:numPr>
          <w:ilvl w:val="1"/>
          <w:numId w:val="1014"/>
        </w:numPr>
        <w:pStyle w:val="Compact"/>
      </w:pPr>
      <w:r>
        <w:t xml:space="preserve">Disposal Emissions: 0.125 kg * 0.75 kgCO2e/kg = 0.09375 kgCO2e</w:t>
      </w:r>
    </w:p>
    <w:p>
      <w:pPr>
        <w:numPr>
          <w:ilvl w:val="1"/>
          <w:numId w:val="1014"/>
        </w:numPr>
        <w:pStyle w:val="Compact"/>
      </w:pPr>
      <w:r>
        <w:t xml:space="preserve">Recycling Credit (75% recyclability, 50% avoidance of material emissions): - (8.35 kgCO2e * 0.75 * 0.50) = -3.13125 kgCO2e</w:t>
      </w:r>
    </w:p>
    <w:p>
      <w:pPr>
        <w:numPr>
          <w:ilvl w:val="0"/>
          <w:numId w:val="1000"/>
        </w:numPr>
      </w:pPr>
      <w:r>
        <w:t xml:space="preserve">Subtotal Category 12:</w:t>
      </w:r>
      <w:r>
        <w:t xml:space="preserve"> </w:t>
      </w:r>
      <w:r>
        <w:rPr>
          <w:bCs/>
          <w:b/>
        </w:rPr>
        <w:t xml:space="preserve">-3.0375 kgCO2e</w:t>
      </w:r>
      <w:r>
        <w:t xml:space="preserve"> </w:t>
      </w:r>
      <w:r>
        <w:t xml:space="preserve">(net credit)</w:t>
      </w:r>
    </w:p>
    <w:p>
      <w:pPr>
        <w:numPr>
          <w:ilvl w:val="0"/>
          <w:numId w:val="1009"/>
        </w:numPr>
        <w:pStyle w:val="Compact"/>
      </w:pPr>
      <w:r>
        <w:rPr>
          <w:bCs/>
          <w:b/>
        </w:rPr>
        <w:t xml:space="preserve">Total Scope 3 Emissions: 15.9825 kgCO2e</w:t>
      </w:r>
    </w:p>
    <w:bookmarkEnd w:id="37"/>
    <w:bookmarkEnd w:id="38"/>
    <w:bookmarkStart w:id="39" w:name="total-product-carbon-footprint-pcf"/>
    <w:p>
      <w:pPr>
        <w:pStyle w:val="Heading2"/>
      </w:pPr>
      <w:r>
        <w:t xml:space="preserve">4.2. Total Product Carbon Footprint (PCF)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(kgCO2e per unit)</w:t>
            </w:r>
          </w:p>
        </w:tc>
      </w:tr>
      <w:tr>
        <w:tc>
          <w:tcPr/>
          <w:p>
            <w:pPr>
              <w:pStyle w:val="Compact"/>
              <w:jc w:val="left"/>
            </w:pPr>
            <w:r>
              <w:t xml:space="preserve">Scope 1</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1.10</w:t>
            </w:r>
          </w:p>
        </w:tc>
      </w:tr>
      <w:tr>
        <w:tc>
          <w:tcPr/>
          <w:p>
            <w:pPr>
              <w:pStyle w:val="Compact"/>
              <w:jc w:val="left"/>
            </w:pPr>
            <w:r>
              <w:t xml:space="preserve">Scope 3</w:t>
            </w:r>
          </w:p>
        </w:tc>
        <w:tc>
          <w:tcPr/>
          <w:p>
            <w:pPr>
              <w:pStyle w:val="Compact"/>
              <w:jc w:val="left"/>
            </w:pPr>
            <w:r>
              <w:t xml:space="preserve">15.98</w:t>
            </w:r>
          </w:p>
        </w:tc>
      </w:tr>
      <w:tr>
        <w:tc>
          <w:tcPr/>
          <w:p>
            <w:pPr>
              <w:pStyle w:val="Compact"/>
              <w:jc w:val="left"/>
            </w:pPr>
            <w:r>
              <w:rPr>
                <w:bCs/>
                <w:b/>
              </w:rPr>
              <w:t xml:space="preserve">Grand Total PCF</w:t>
            </w:r>
          </w:p>
        </w:tc>
        <w:tc>
          <w:tcPr/>
          <w:p>
            <w:pPr>
              <w:pStyle w:val="Compact"/>
              <w:jc w:val="left"/>
            </w:pPr>
            <w:r>
              <w:rPr>
                <w:bCs/>
                <w:b/>
              </w:rPr>
              <w:t xml:space="preserve">17.08</w:t>
            </w:r>
          </w:p>
        </w:tc>
      </w:tr>
    </w:tbl>
    <w:p>
      <w:r>
        <w:pict>
          <v:rect style="width:0;height:1.5pt" o:hralign="center" o:hrstd="t" o:hr="t"/>
        </w:pict>
      </w:r>
    </w:p>
    <w:bookmarkEnd w:id="39"/>
    <w:bookmarkEnd w:id="40"/>
    <w:bookmarkStart w:id="45" w:name="review-report"/>
    <w:p>
      <w:pPr>
        <w:pStyle w:val="Heading1"/>
      </w:pPr>
      <w:r>
        <w:t xml:space="preserve">5. Review &amp; Report</w:t>
      </w:r>
    </w:p>
    <w:bookmarkStart w:id="41" w:name="hotspot-analysis"/>
    <w:p>
      <w:pPr>
        <w:pStyle w:val="Heading2"/>
      </w:pPr>
      <w:r>
        <w:t xml:space="preserve">5.1. Hotspot Analysis</w:t>
      </w:r>
    </w:p>
    <w:p>
      <w:pPr>
        <w:pStyle w:val="FirstParagraph"/>
      </w:pPr>
      <w:r>
        <w:t xml:space="preserve">The primary emission hotspots for</w:t>
      </w:r>
      <w:r>
        <w:t xml:space="preserve"> </w:t>
      </w:r>
      <w:r>
        <w:rPr>
          <w:bCs/>
          <w:b/>
        </w:rPr>
        <w:t xml:space="preserve">qtmyiysmhj</w:t>
      </w:r>
      <w:r>
        <w:t xml:space="preserve"> </w:t>
      </w:r>
      <w:r>
        <w:t xml:space="preserve">are identified as follows:</w:t>
      </w:r>
    </w:p>
    <w:p>
      <w:pPr>
        <w:numPr>
          <w:ilvl w:val="0"/>
          <w:numId w:val="1015"/>
        </w:numPr>
        <w:pStyle w:val="Compact"/>
      </w:pPr>
      <w:r>
        <w:rPr>
          <w:bCs/>
          <w:b/>
        </w:rPr>
        <w:t xml:space="preserve">Material Acquisition (Scope 3, Category 1):</w:t>
      </w:r>
      <w:r>
        <w:t xml:space="preserve"> </w:t>
      </w:r>
      <w:r>
        <w:t xml:space="preserve">Constitutes 8.35 kgCO2e, representing approximately 48.9% of the total PCF. This highlights the significant embodied emissions in raw materials, particularly the electronic components and battery.</w:t>
      </w:r>
    </w:p>
    <w:p>
      <w:pPr>
        <w:numPr>
          <w:ilvl w:val="0"/>
          <w:numId w:val="1015"/>
        </w:numPr>
        <w:pStyle w:val="Compact"/>
      </w:pPr>
      <w:r>
        <w:rPr>
          <w:bCs/>
          <w:b/>
        </w:rPr>
        <w:t xml:space="preserve">Use of Sold Products (Scope 3, Category 11):</w:t>
      </w:r>
      <w:r>
        <w:t xml:space="preserve"> </w:t>
      </w:r>
      <w:r>
        <w:t xml:space="preserve">Contributes 7.5 kgCO2e, or about 43.9% of the total PCF. The electricity consumption over the product\'s 3-year lifespan is a major driver of this impact.</w:t>
      </w:r>
    </w:p>
    <w:p>
      <w:pPr>
        <w:numPr>
          <w:ilvl w:val="0"/>
          <w:numId w:val="1015"/>
        </w:numPr>
        <w:pStyle w:val="Compact"/>
      </w:pPr>
      <w:r>
        <w:rPr>
          <w:bCs/>
          <w:b/>
        </w:rPr>
        <w:t xml:space="preserve">Downstream Transportation (Scope 3, Category 9):</w:t>
      </w:r>
      <w:r>
        <w:t xml:space="preserve"> </w:t>
      </w:r>
      <w:r>
        <w:t xml:space="preserve">Accounts for 2.89 kgCO2e, or approximately 16.9% of the total PCF, with last-mile delivery being a notable contributor.</w:t>
      </w:r>
    </w:p>
    <w:p>
      <w:pPr>
        <w:numPr>
          <w:ilvl w:val="0"/>
          <w:numId w:val="1015"/>
        </w:numPr>
        <w:pStyle w:val="Compact"/>
      </w:pPr>
      <w:r>
        <w:rPr>
          <w:bCs/>
          <w:b/>
        </w:rPr>
        <w:t xml:space="preserve">Manufacturing Energy (Scope 2):</w:t>
      </w:r>
      <w:r>
        <w:t xml:space="preserve"> </w:t>
      </w:r>
      <w:r>
        <w:t xml:space="preserve">While 60% renewable energy usage significantly reduces this impact, the remaining 40% from the Chinese grid contributes 1.1 kgCO2e (6.4% of total).</w:t>
      </w:r>
    </w:p>
    <w:p>
      <w:pPr>
        <w:pStyle w:val="FirstParagraph"/>
      </w:pPr>
      <w:r>
        <w:t xml:space="preserve">The End-of-Life phase, due to high recyclability and circular programs, provides a net credit, demonstrating the positive impact of circular economy initiatives.</w:t>
      </w:r>
    </w:p>
    <w:bookmarkEnd w:id="41"/>
    <w:bookmarkStart w:id="42" w:name="data-reliability-and-assumptions"/>
    <w:p>
      <w:pPr>
        <w:pStyle w:val="Heading2"/>
      </w:pPr>
      <w:r>
        <w:t xml:space="preserve">5.2. Data Reliability and Assumptions</w:t>
      </w:r>
    </w:p>
    <w:p>
      <w:pPr>
        <w:pStyle w:val="FirstParagraph"/>
      </w:pPr>
      <w:r>
        <w:t xml:space="preserve">This report leverages specific primary data points provided by</w:t>
      </w:r>
      <w:r>
        <w:t xml:space="preserve"> </w:t>
      </w:r>
      <w:r>
        <w:rPr>
          <w:bCs/>
          <w:b/>
        </w:rPr>
        <w:t xml:space="preserve">nnjozflxyw</w:t>
      </w:r>
      <w:r>
        <w:t xml:space="preserve"> </w:t>
      </w:r>
      <w:r>
        <w:t xml:space="preserve">for materials, energy usage, and product lifespan. Where primary data for specific processes or transport modes were not available (e.g., exact vehicle types for \'Select Mode\', detailed waste processing data), industry-standard emission factors from reputable sources such as EPA, DEFRA, MEE, and regional grid averages (e.g., European Environment Agency, Ember) have been applied.</w:t>
      </w:r>
    </w:p>
    <w:p>
      <w:pPr>
        <w:pStyle w:val="BodyText"/>
      </w:pPr>
      <w:r>
        <w:t xml:space="preserve">The application of the Land Sector and Removals (LSR) Standard (2026 update) is conceptually adopted; however, specific land-use change data pertaining to raw material extraction in the BOM were beyond the scope of the provided input parameters and thus not explicitly quantified. The Scope 3 coverage of over 95% ensures a comprehensive view of value chain emissions.</w:t>
      </w:r>
    </w:p>
    <w:bookmarkEnd w:id="42"/>
    <w:bookmarkStart w:id="44" w:name="recommendations-for-emission-reduction"/>
    <w:p>
      <w:pPr>
        <w:pStyle w:val="Heading2"/>
      </w:pPr>
      <w:r>
        <w:t xml:space="preserve">5.3. Recommendations for Emission Reduction</w:t>
      </w:r>
    </w:p>
    <w:p>
      <w:pPr>
        <w:numPr>
          <w:ilvl w:val="0"/>
          <w:numId w:val="1016"/>
        </w:numPr>
        <w:pStyle w:val="Compact"/>
      </w:pPr>
      <w:r>
        <w:rPr>
          <w:bCs/>
          <w:b/>
        </w:rPr>
        <w:t xml:space="preserve">Material Optimization:</w:t>
      </w:r>
      <w:r>
        <w:t xml:space="preserve"> </w:t>
      </w:r>
      <w:r>
        <w:t xml:space="preserve">Explore further opportunities for using lower-carbon materials, increasing recycled content, or lightweighting components to reduce the significant impact from purchased goods and services.</w:t>
      </w:r>
    </w:p>
    <w:p>
      <w:pPr>
        <w:numPr>
          <w:ilvl w:val="0"/>
          <w:numId w:val="1016"/>
        </w:numPr>
        <w:pStyle w:val="Compact"/>
      </w:pPr>
      <w:r>
        <w:rPr>
          <w:bCs/>
          <w:b/>
        </w:rPr>
        <w:t xml:space="preserve">Energy Efficiency in Use:</w:t>
      </w:r>
      <w:r>
        <w:t xml:space="preserve"> </w:t>
      </w:r>
      <w:r>
        <w:t xml:space="preserve">Investigate design modifications to reduce the product\'s energy consumption during its lifespan. Promoting energy-efficient user behavior or offering renewable energy offsets for the use phase could also be beneficial.</w:t>
      </w:r>
    </w:p>
    <w:p>
      <w:pPr>
        <w:numPr>
          <w:ilvl w:val="0"/>
          <w:numId w:val="1016"/>
        </w:numPr>
        <w:pStyle w:val="Compact"/>
      </w:pPr>
      <w:r>
        <w:rPr>
          <w:bCs/>
          <w:b/>
        </w:rPr>
        <w:t xml:space="preserve">Logistics Optimization:</w:t>
      </w:r>
      <w:r>
        <w:t xml:space="preserve"> </w:t>
      </w:r>
      <w:r>
        <w:t xml:space="preserve">Further optimize transport routes and modes, potentially shifting to lower-emission alternatives where feasible. Collaborating with logistics providers using electric or hybrid fleets for last-mile delivery can yield significant reductions.</w:t>
      </w:r>
    </w:p>
    <w:p>
      <w:pPr>
        <w:numPr>
          <w:ilvl w:val="0"/>
          <w:numId w:val="1016"/>
        </w:numPr>
        <w:pStyle w:val="Compact"/>
      </w:pPr>
      <w:r>
        <w:rPr>
          <w:bCs/>
          <w:b/>
        </w:rPr>
        <w:t xml:space="preserve">Circular Economy Enhancement:</w:t>
      </w:r>
      <w:r>
        <w:t xml:space="preserve"> </w:t>
      </w:r>
      <w:r>
        <w:t xml:space="preserve">Continue to strengthen and expand take-back and recycling programs (gduqhwfvqo) to maximize material circularity and increase the effective recyclability percentage (sgiifqhkdz).</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qtmyiysmhj</dc:title>
  <dc:creator/>
  <dc:description>A high-detail Product Carbon Footprint (PCF) analysis report for qtmyiysmhj, conducted by oliwxvnlkv, Senior Sustainability Consultant at nnjozflxyw, adhering to GHG Protocol standards and 2026 LSR updates.</dc:description>
  <dc:language>en</dc:language>
  <cp:keywords/>
  <dcterms:created xsi:type="dcterms:W3CDTF">2026-05-30T18:17:46Z</dcterms:created>
  <dcterms:modified xsi:type="dcterms:W3CDTF">2026-05-30T18:17:46Z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