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qsixirzutv</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qsixirzutv</w:t>
      </w:r>
    </w:p>
    <w:p>
      <w:pPr>
        <w:pStyle w:val="BodyText"/>
      </w:pPr>
      <w:r>
        <w:t xml:space="preserve">**Protocol Data (Accounting Standard):** GHG Protocol</w:t>
      </w:r>
    </w:p>
    <w:p>
      <w:pPr>
        <w:pStyle w:val="BodyText"/>
      </w:pPr>
      <w:r>
        <w:t xml:space="preserve">**Name of the Company:** zywmdnyysx</w:t>
      </w:r>
    </w:p>
    <w:p>
      <w:pPr>
        <w:pStyle w:val="BodyText"/>
      </w:pPr>
      <w:r>
        <w:t xml:space="preserve">**Senior Sustainability Consultant:** uvjtwksmpd</w:t>
      </w:r>
    </w:p>
    <w:p>
      <w:pPr>
        <w:pStyle w:val="BodyText"/>
      </w:pPr>
      <w:r>
        <w:t xml:space="preserve">This report is generated based on available data and industry standards. Actual carbon footprints may vary based on real-time operational data and specific supply chain details not fully captured in the provided parameters.</w:t>
      </w:r>
    </w:p>
    <w:bookmarkEnd w:id="20"/>
    <w:bookmarkStart w:id="45" w:name="X3e8e3c5b3757a03629e4ea8547d4f796db6e70a"/>
    <w:p>
      <w:pPr>
        <w:pStyle w:val="Heading1"/>
      </w:pPr>
      <w:r>
        <w:t xml:space="preserve">Product Carbon Footprint (PCF) Analysis Report for qsixirzutv</w:t>
      </w:r>
    </w:p>
    <w:p>
      <w:pPr>
        <w:pStyle w:val="FirstParagraph"/>
      </w:pPr>
      <w:r>
        <w:rPr>
          <w:bCs/>
          <w:b/>
        </w:rPr>
        <w:t xml:space="preserve">Generated Date:</w:t>
      </w:r>
      <w:r>
        <w:t xml:space="preserve"> </w:t>
      </w:r>
      <w:r>
        <w:t xml:space="preserve">May 22, 2026</w:t>
      </w:r>
    </w:p>
    <w:p>
      <w:pPr>
        <w:pStyle w:val="BodyText"/>
      </w:pPr>
      <w:r>
        <w:rPr>
          <w:bCs/>
          <w:b/>
        </w:rPr>
        <w:t xml:space="preserve">Consultant:</w:t>
      </w:r>
      <w:r>
        <w:t xml:space="preserve"> </w:t>
      </w:r>
      <w:r>
        <w:t xml:space="preserve">uvjtwksmpd, Senior Sustainability Consultant</w:t>
      </w:r>
    </w:p>
    <w:p>
      <w:pPr>
        <w:pStyle w:val="BodyText"/>
      </w:pPr>
      <w:r>
        <w:t xml:space="preserve">This report details the Product Carbon Footprint (PCF) analysis for \'qsixirzutv\' manufactured by zywmdnyysx. The analysis adheres strictly to the GHG Protocol and incorporates the latest 2026 Land Sector and Removals (LSR) Standard updates. The objective is to quantify the greenhouse gas (GHG) emissions associated with the product\'s lifecycle, identify emission hotspots, and provide a foundation for reduction strategies.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for qsixirzutv provides a comprehensive assessment of greenhouse gas emissions across its lifecycle, from raw material extraction to end-of-life. Utilizing the GHG Protocol as the accounting standard, with a particular focus on achieving over 95% Scope 3 coverage, this analysis identifies key emission sources in material acquisition, manufacturing, transport, use, and end-of-life stages. While specific numerical calculations are based on illustrative data due to the placeholder nature of some input parameters, the methodology outlines a robust framework for understanding and mitigating the environmental impact of qsixirzutv. Key areas for potential carbon reduction include optimizing material choices, enhancing renewable energy integration in manufacturing, streamlining logistics, and promoting circular economy practices.</w:t>
      </w:r>
    </w:p>
    <w:p>
      <w:r>
        <w:pict>
          <v:rect style="width:0;height:1.5pt" o:hralign="center" o:hrstd="t" o:hr="t"/>
        </w:pict>
      </w:r>
    </w:p>
    <w:bookmarkEnd w:id="21"/>
    <w:bookmarkStart w:id="25" w:name="methodology-and-scope-definition"/>
    <w:p>
      <w:pPr>
        <w:pStyle w:val="Heading2"/>
      </w:pPr>
      <w:r>
        <w:t xml:space="preserve">2. Methodology and Scope Definition</w:t>
      </w:r>
    </w:p>
    <w:p>
      <w:pPr>
        <w:pStyle w:val="FirstParagraph"/>
      </w:pPr>
      <w:r>
        <w:t xml:space="preserve">The PCF analysis for qsixirzutv is conducted following a five-step methodology, ensuring compliance with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qsixirzutv. This serves as the reference basis for quantifying all inputs and outputs throughout the product\'s life cycle.</w:t>
      </w:r>
    </w:p>
    <w:p>
      <w:pPr>
        <w:numPr>
          <w:ilvl w:val="0"/>
          <w:numId w:val="1001"/>
        </w:numPr>
        <w:pStyle w:val="Compact"/>
      </w:pPr>
      <w:r>
        <w:rPr>
          <w:bCs/>
          <w:b/>
        </w:rPr>
        <w:t xml:space="preserve">System Boundary:</w:t>
      </w:r>
      <w:r>
        <w:t xml:space="preserve"> </w:t>
      </w:r>
      <w:r>
        <w:t xml:space="preserve">The system boundary for this PCF analysis is \'Cradle-to-Grave\'. Although the initial parameter specified \'factory_gate\', the explicit requirement to expand \'Use Phase\' and \'End-of-Life\' calculations necessitates a cradle-to-grave approach to provide a complete picture of the product\'s environmental impact. This includes raw material extraction, manufacturing, transport to the customer, product use, and end-of-life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2">
        <w:r>
          <w:rPr>
            <w:rStyle w:val="Hyperlink"/>
          </w:rPr>
          <w:t xml:space="preserve">Greenhouse Gas (GHG) Protocol</w:t>
        </w:r>
      </w:hyperlink>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Given the focus on a single product (qsixirzutv), direct allocation of emissions to the functional unit is applied. For shared processes or utilities, an appropriate allocation method (e.g., mass, economic, or physical relationship) would be determined if specific co-products or by-products were involved.</w:t>
      </w:r>
    </w:p>
    <w:bookmarkEnd w:id="23"/>
    <w:bookmarkStart w:id="24" w:name="map-lifecycle-lci-inventory-stages"/>
    <w:p>
      <w:pPr>
        <w:pStyle w:val="Heading3"/>
      </w:pPr>
      <w:r>
        <w:t xml:space="preserve">2.2. Map Lifecycle (LCI Inventory Stages)</w:t>
      </w:r>
    </w:p>
    <w:p>
      <w:pPr>
        <w:pStyle w:val="FirstParagraph"/>
      </w:pPr>
      <w:r>
        <w:t xml:space="preserve">The lifecycle of qsixirzutv is mapped across five distinct stages to capture all relevant emissions:</w:t>
      </w:r>
    </w:p>
    <w:p>
      <w:pPr>
        <w:numPr>
          <w:ilvl w:val="0"/>
          <w:numId w:val="1003"/>
        </w:numPr>
        <w:pStyle w:val="Compact"/>
      </w:pPr>
      <w:r>
        <w:rPr>
          <w:bCs/>
          <w:b/>
        </w:rPr>
        <w:t xml:space="preserve">Raw Material Acquisition &amp; Pre-processing:</w:t>
      </w:r>
      <w:r>
        <w:t xml:space="preserve"> </w:t>
      </w:r>
      <w:r>
        <w:t xml:space="preserve">This stage accounts for emissions associated with the extraction, processing, and refining of all raw materials required for qsixirzutv.</w:t>
      </w:r>
    </w:p>
    <w:p>
      <w:pPr>
        <w:numPr>
          <w:ilvl w:val="0"/>
          <w:numId w:val="1003"/>
        </w:numPr>
        <w:pStyle w:val="Compact"/>
      </w:pPr>
      <w:r>
        <w:rPr>
          <w:bCs/>
          <w:b/>
        </w:rPr>
        <w:t xml:space="preserve">Manufacturing / Production:</w:t>
      </w:r>
      <w:r>
        <w:t xml:space="preserve"> </w:t>
      </w:r>
      <w:r>
        <w:t xml:space="preserve">Encompasses emissions from the manufacturing processes at the production facility in China, including energy consumption, process emissions, and waste generation.</w:t>
      </w:r>
    </w:p>
    <w:p>
      <w:pPr>
        <w:numPr>
          <w:ilvl w:val="0"/>
          <w:numId w:val="1003"/>
        </w:numPr>
        <w:pStyle w:val="Compact"/>
      </w:pPr>
      <w:r>
        <w:rPr>
          <w:bCs/>
          <w:b/>
        </w:rPr>
        <w:t xml:space="preserve">Transport / Distribution:</w:t>
      </w:r>
      <w:r>
        <w:t xml:space="preserve"> </w:t>
      </w:r>
      <w:r>
        <w:t xml:space="preserve">Covers emissions from the transportation of raw materials to the manufacturing site, and the finished product from the factory gate to the customer, considering the specified transport mode and distance with a focus on a Europe-focused supply chain.</w:t>
      </w:r>
    </w:p>
    <w:p>
      <w:pPr>
        <w:numPr>
          <w:ilvl w:val="0"/>
          <w:numId w:val="1003"/>
        </w:numPr>
        <w:pStyle w:val="Compact"/>
      </w:pPr>
      <w:r>
        <w:rPr>
          <w:bCs/>
          <w:b/>
        </w:rPr>
        <w:t xml:space="preserve">Use Phase:</w:t>
      </w:r>
      <w:r>
        <w:t xml:space="preserve"> </w:t>
      </w:r>
      <w:r>
        <w:t xml:space="preserve">Accounts for emissions generated during the product\'s intended use by the consumer, based on its estimated lifespan and energy consumption during operation.</w:t>
      </w:r>
    </w:p>
    <w:p>
      <w:pPr>
        <w:numPr>
          <w:ilvl w:val="0"/>
          <w:numId w:val="1003"/>
        </w:numPr>
        <w:pStyle w:val="Compact"/>
      </w:pPr>
      <w:r>
        <w:rPr>
          <w:bCs/>
          <w:b/>
        </w:rPr>
        <w:t xml:space="preserve">End-of-Life (EoL):</w:t>
      </w:r>
      <w:r>
        <w:t xml:space="preserve"> </w:t>
      </w:r>
      <w:r>
        <w:t xml:space="preserve">Includes emissions or avoided emissions associated with the product\'s disposal, recycling, or participation in circular/take-back programs.</w:t>
      </w:r>
    </w:p>
    <w:p>
      <w:r>
        <w:pict>
          <v:rect style="width:0;height:1.5pt" o:hralign="center" o:hrstd="t" o:hr="t"/>
        </w:pict>
      </w:r>
    </w:p>
    <w:bookmarkEnd w:id="24"/>
    <w:bookmarkEnd w:id="25"/>
    <w:bookmarkStart w:id="32" w:name="data-collection-and-inputs"/>
    <w:p>
      <w:pPr>
        <w:pStyle w:val="Heading2"/>
      </w:pPr>
      <w:r>
        <w:t xml:space="preserve">3. Data Collection and Inputs</w:t>
      </w:r>
    </w:p>
    <w:p>
      <w:pPr>
        <w:pStyle w:val="FirstParagraph"/>
      </w:pPr>
      <w:r>
        <w:t xml:space="preserve">Data collection involved gathering primary data (where available) and secondary data (industry averages and emission factors) relevant to qsixirzutv. Due to the placeholder nature of some input parameters, illustrative examples are used to demonstrate the methodology. All specific parameters provided have been incorporated.</w:t>
      </w:r>
    </w:p>
    <w:bookmarkStart w:id="27" w:name="X27bf5be9ef9d6b1e92805ad0634a467650542bf"/>
    <w:p>
      <w:pPr>
        <w:pStyle w:val="Heading3"/>
      </w:pPr>
      <w:r>
        <w:t xml:space="preserve">3.1. Detailed Bill of Materials (BOM) for qsixirzutv</w:t>
      </w:r>
    </w:p>
    <w:p>
      <w:pPr>
        <w:pStyle w:val="FirstParagraph"/>
      </w:pPr>
      <w:r>
        <w:t xml:space="preserve">The provided BOM string:</w:t>
      </w:r>
      <w:r>
        <w:t xml:space="preserve"> </w:t>
      </w:r>
      <w:r>
        <w:rPr>
          <w:rStyle w:val="VerbatimChar"/>
        </w:rPr>
        <w:t xml:space="preserve">stkgmvds</w:t>
      </w:r>
    </w:p>
    <w:p>
      <w:pPr>
        <w:pStyle w:val="BodyText"/>
      </w:pPr>
      <w:r>
        <w:rPr>
          <w:iCs/>
          <w:i/>
        </w:rPr>
        <w:t xml:space="preserve">Note: The string \'stkgmvds\' is provided as the BOM data. For the purpose of this report, we interpret this as a representation that detailed BOM data exists. To perform calculations, we will use an illustrative example of BOM components that follows the specified format (ID, Description, Category, Process, Qty, Unit, Emission Factor, Total Carbon). In a real-world scenario, the actual \'stkgmvds\' content would be parsed and used directly.</w:t>
      </w:r>
    </w:p>
    <w:bookmarkStart w:id="26" w:name="X8fcc1e338b3da37f9654fde1759654a28729fbc"/>
    <w:p>
      <w:pPr>
        <w:pStyle w:val="Heading4"/>
      </w:pPr>
      <w:r>
        <w:t xml:space="preserve">Illustrative Bill of Materials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P004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bCs/>
          <w:b/>
        </w:rPr>
        <w:t xml:space="preserve">Total Illustrative Material Impact:</w:t>
      </w:r>
      <w:r>
        <w:t xml:space="preserve"> </w:t>
      </w:r>
      <w:r>
        <w:t xml:space="preserve">7.50 kgCO2e (based on example data)</w:t>
      </w:r>
    </w:p>
    <w:bookmarkEnd w:id="26"/>
    <w:bookmarkEnd w:id="27"/>
    <w:bookmarkStart w:id="28" w:name="production-energy-inputs"/>
    <w:p>
      <w:pPr>
        <w:pStyle w:val="Heading3"/>
      </w:pPr>
      <w:r>
        <w:t xml:space="preserve">3.2. Production Energy Inputs</w:t>
      </w:r>
    </w:p>
    <w:p>
      <w:pPr>
        <w:numPr>
          <w:ilvl w:val="0"/>
          <w:numId w:val="1004"/>
        </w:numPr>
        <w:pStyle w:val="Compact"/>
      </w:pPr>
      <w:r>
        <w:rPr>
          <w:bCs/>
          <w:b/>
        </w:rPr>
        <w:t xml:space="preserve">Renewable Energy Usage:</w:t>
      </w:r>
      <w:r>
        <w:t xml:space="preserve"> </w:t>
      </w:r>
      <w:r>
        <w:t xml:space="preserve">kqdphxrtpd (e.g., assuming 50% renewable energy procurement for illustration)</w:t>
      </w:r>
    </w:p>
    <w:p>
      <w:pPr>
        <w:numPr>
          <w:ilvl w:val="0"/>
          <w:numId w:val="1004"/>
        </w:numPr>
        <w:pStyle w:val="Compact"/>
      </w:pPr>
      <w:r>
        <w:rPr>
          <w:bCs/>
          <w:b/>
        </w:rPr>
        <w:t xml:space="preserve">Energy Intensity (kWh/unit):</w:t>
      </w:r>
      <w:r>
        <w:t xml:space="preserve"> </w:t>
      </w:r>
      <w:r>
        <w:t xml:space="preserve">ljfurivmup (e.g., 10 kWh/unit for illustration)</w:t>
      </w:r>
    </w:p>
    <w:bookmarkEnd w:id="28"/>
    <w:bookmarkStart w:id="29"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(e.g., Ocean Freight + Road for illustration)</w:t>
      </w:r>
    </w:p>
    <w:p>
      <w:pPr>
        <w:numPr>
          <w:ilvl w:val="0"/>
          <w:numId w:val="1005"/>
        </w:numPr>
        <w:pStyle w:val="Compact"/>
      </w:pPr>
      <w:r>
        <w:rPr>
          <w:bCs/>
          <w:b/>
        </w:rPr>
        <w:t xml:space="preserve">Transport Distance:</w:t>
      </w:r>
      <w:r>
        <w:t xml:space="preserve"> </w:t>
      </w:r>
      <w:r>
        <w:t xml:space="preserve">yhhovdoudg (e.g., 10,000 km Ocean, 500 km Road for illustration, considering Europe-focused supply chain)</w:t>
      </w:r>
    </w:p>
    <w:p>
      <w:pPr>
        <w:numPr>
          <w:ilvl w:val="0"/>
          <w:numId w:val="1005"/>
        </w:numPr>
        <w:pStyle w:val="Compact"/>
      </w:pPr>
      <w:r>
        <w:rPr>
          <w:bCs/>
          <w:b/>
        </w:rPr>
        <w:t xml:space="preserve">Last-Mile Delivery Channel:</w:t>
      </w:r>
      <w:r>
        <w:t xml:space="preserve"> </w:t>
      </w:r>
      <w:r>
        <w:t xml:space="preserve">Delivery Type (e.g., Light Commercial Vehicle for illustration)</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yrxwhpxrxt (e.g., 5 years for illustration)</w:t>
      </w:r>
    </w:p>
    <w:p>
      <w:pPr>
        <w:numPr>
          <w:ilvl w:val="0"/>
          <w:numId w:val="1006"/>
        </w:numPr>
        <w:pStyle w:val="Compact"/>
      </w:pPr>
      <w:r>
        <w:rPr>
          <w:bCs/>
          <w:b/>
        </w:rPr>
        <w:t xml:space="preserve">Energy Consumption in Use:</w:t>
      </w:r>
      <w:r>
        <w:t xml:space="preserve"> </w:t>
      </w:r>
      <w:r>
        <w:t xml:space="preserve">oodxrjpiho (e.g., 20 kWh/year for illustration)</w:t>
      </w:r>
    </w:p>
    <w:bookmarkEnd w:id="30"/>
    <w:bookmarkStart w:id="31"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vshdqpqqti (e.g., 70% for illustration)</w:t>
      </w:r>
    </w:p>
    <w:p>
      <w:pPr>
        <w:numPr>
          <w:ilvl w:val="0"/>
          <w:numId w:val="1007"/>
        </w:numPr>
        <w:pStyle w:val="Compact"/>
      </w:pPr>
      <w:r>
        <w:rPr>
          <w:bCs/>
          <w:b/>
        </w:rPr>
        <w:t xml:space="preserve">Circular/Take-back Programs:</w:t>
      </w:r>
      <w:r>
        <w:t xml:space="preserve"> </w:t>
      </w:r>
      <w:r>
        <w:t xml:space="preserve">gysphssjxx (e.g., \'Yes, active take-back program\' for illustration)</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 cycle stage, categorized according to the GHG Protocol (Scope 1, 2, 3) and applying industry-standard emission factors (e.g., from Ecoinvent, DEFRA). Illustrative calculations are provided below.</w:t>
      </w:r>
    </w:p>
    <w:bookmarkStart w:id="33" w:name="X8ca7739a642671db4b5a2c6a0090cce558b155b"/>
    <w:p>
      <w:pPr>
        <w:pStyle w:val="Heading3"/>
      </w:pPr>
      <w:r>
        <w:t xml:space="preserve">4.1. Raw Material Acquisition (Scope 3 - Upstream)</w:t>
      </w:r>
    </w:p>
    <w:p>
      <w:pPr>
        <w:pStyle w:val="FirstParagraph"/>
      </w:pPr>
      <w:r>
        <w:t xml:space="preserve">Calculations for raw materials are based on the quantity of each material and its corresponding emission factor. Using the illustrative BOM data:</w:t>
      </w:r>
    </w:p>
    <w:p>
      <w:pPr>
        <w:numPr>
          <w:ilvl w:val="0"/>
          <w:numId w:val="1008"/>
        </w:numPr>
        <w:pStyle w:val="Compact"/>
      </w:pPr>
      <w:r>
        <w:t xml:space="preserve">Aluminum Alloy: 0.5 kg * 8.5 kgCO2e/kg = 4.25 kgCO2e</w:t>
      </w:r>
    </w:p>
    <w:p>
      <w:pPr>
        <w:numPr>
          <w:ilvl w:val="0"/>
          <w:numId w:val="1008"/>
        </w:numPr>
        <w:pStyle w:val="Compact"/>
      </w:pPr>
      <w:r>
        <w:t xml:space="preserve">ABS Plastic: 0.2 kg * 3.0 kgCO2e/kg = 0.60 kgCO2e</w:t>
      </w:r>
    </w:p>
    <w:p>
      <w:pPr>
        <w:numPr>
          <w:ilvl w:val="0"/>
          <w:numId w:val="1008"/>
        </w:numPr>
        <w:pStyle w:val="Compact"/>
      </w:pPr>
      <w:r>
        <w:t xml:space="preserve">Printed Circuit Board: 1.0 unit * 2.5 kgCO2e/unit = 2.50 kgCO2e</w:t>
      </w:r>
    </w:p>
    <w:p>
      <w:pPr>
        <w:numPr>
          <w:ilvl w:val="0"/>
          <w:numId w:val="1008"/>
        </w:numPr>
        <w:pStyle w:val="Compact"/>
      </w:pPr>
      <w:r>
        <w:t xml:space="preserve">Packaging Cardboard: 0.3 kg * 0.5 kgCO2e/kg = 0.15 kgCO2e</w:t>
      </w:r>
    </w:p>
    <w:p>
      <w:pPr>
        <w:pStyle w:val="FirstParagraph"/>
      </w:pPr>
      <w:r>
        <w:rPr>
          <w:bCs/>
          <w:b/>
        </w:rPr>
        <w:t xml:space="preserve">Illustrative Total Raw Material Emissions:</w:t>
      </w:r>
      <w:r>
        <w:t xml:space="preserve"> </w:t>
      </w:r>
      <w:r>
        <w:t xml:space="preserve">7.50 kgCO2e</w:t>
      </w:r>
    </w:p>
    <w:bookmarkEnd w:id="33"/>
    <w:bookmarkStart w:id="34" w:name="manufacturing-production-scope-1-2"/>
    <w:p>
      <w:pPr>
        <w:pStyle w:val="Heading3"/>
      </w:pPr>
      <w:r>
        <w:t xml:space="preserve">4.2. Manufacturing / Production (Scope 1 &amp; 2)</w:t>
      </w:r>
    </w:p>
    <w:p>
      <w:pPr>
        <w:pStyle w:val="FirstParagraph"/>
      </w:pPr>
      <w:r>
        <w:t xml:space="preserve">This stage includes direct emissions (Scope 1) from on-site fuel combustion (if any) and indirect emissions (Scope 2) from purchased electricity. Considering the provided parameters:</w:t>
      </w:r>
    </w:p>
    <w:p>
      <w:pPr>
        <w:numPr>
          <w:ilvl w:val="0"/>
          <w:numId w:val="1009"/>
        </w:numPr>
        <w:pStyle w:val="Compact"/>
      </w:pPr>
      <w:r>
        <w:rPr>
          <w:bCs/>
          <w:b/>
        </w:rPr>
        <w:t xml:space="preserve">Energy Intensity (kWh/unit):</w:t>
      </w:r>
      <w:r>
        <w:t xml:space="preserve"> </w:t>
      </w:r>
      <w:r>
        <w:t xml:space="preserve">`ljfurivmup` (Illustrative: 10 kWh/unit)</w:t>
      </w:r>
    </w:p>
    <w:p>
      <w:pPr>
        <w:numPr>
          <w:ilvl w:val="0"/>
          <w:numId w:val="1009"/>
        </w:numPr>
        <w:pStyle w:val="Compact"/>
      </w:pPr>
      <w:r>
        <w:rPr>
          <w:bCs/>
          <w:b/>
        </w:rPr>
        <w:t xml:space="preserve">Renewable Energy Usage:</w:t>
      </w:r>
      <w:r>
        <w:t xml:space="preserve"> </w:t>
      </w:r>
      <w:r>
        <w:t xml:space="preserve">`kqdphxrtpd` (Illustrative: 50%)</w:t>
      </w:r>
    </w:p>
    <w:p>
      <w:pPr>
        <w:numPr>
          <w:ilvl w:val="0"/>
          <w:numId w:val="1009"/>
        </w:numPr>
        <w:pStyle w:val="Compact"/>
      </w:pPr>
      <w:r>
        <w:rPr>
          <w:bCs/>
          <w:b/>
        </w:rPr>
        <w:t xml:space="preserve">Grid Emission Factor (China):</w:t>
      </w:r>
      <w:r>
        <w:t xml:space="preserve"> </w:t>
      </w:r>
      <w:r>
        <w:t xml:space="preserve">Illustrative 0.55 kgCO2e/kWh (based on 2021 MEE data of 0.5568 kgCO2/kWh)</w:t>
      </w:r>
    </w:p>
    <w:p>
      <w:pPr>
        <w:numPr>
          <w:ilvl w:val="0"/>
          <w:numId w:val="1009"/>
        </w:numPr>
        <w:pStyle w:val="Compact"/>
      </w:pPr>
      <w:r>
        <w:rPr>
          <w:bCs/>
          <w:b/>
        </w:rPr>
        <w:t xml:space="preserve">Renewable Energy Factor:</w:t>
      </w:r>
      <w:r>
        <w:t xml:space="preserve"> </w:t>
      </w:r>
      <w:r>
        <w:t xml:space="preserve">0.0 kgCO2e/kWh (assuming certified renewable with zero upstream emissions for the purpose of this illustration)</w:t>
      </w:r>
    </w:p>
    <w:p>
      <w:pPr>
        <w:pStyle w:val="FirstParagraph"/>
      </w:pPr>
      <w:r>
        <w:rPr>
          <w:bCs/>
          <w:b/>
        </w:rPr>
        <w:t xml:space="preserve">Illustrative Calculation:</w:t>
      </w:r>
    </w:p>
    <w:p>
      <w:pPr>
        <w:pStyle w:val="BodyText"/>
      </w:pPr>
      <w:r>
        <w:t xml:space="preserve">Non-renewable electricity: 10 kWh/unit * (1 - 0.50) = 5 kWh/unit</w:t>
      </w:r>
    </w:p>
    <w:p>
      <w:pPr>
        <w:pStyle w:val="BodyText"/>
      </w:pPr>
      <w:r>
        <w:t xml:space="preserve">Emissions from non-renewable electricity: 5 kWh/unit * 0.55 kgCO2e/kWh = 2.75 kgCO2e</w:t>
      </w:r>
    </w:p>
    <w:p>
      <w:pPr>
        <w:pStyle w:val="BodyText"/>
      </w:pPr>
      <w:r>
        <w:t xml:space="preserve">Emissions from renewable electricity: 5 kWh/unit * 0.0 kgCO2e/kWh = 0.00 kgCO2e</w:t>
      </w:r>
    </w:p>
    <w:p>
      <w:pPr>
        <w:pStyle w:val="BodyText"/>
      </w:pPr>
      <w:r>
        <w:rPr>
          <w:bCs/>
          <w:b/>
        </w:rPr>
        <w:t xml:space="preserve">Illustrative Total Manufacturing Energy Emissions (Scope 2):</w:t>
      </w:r>
      <w:r>
        <w:t xml:space="preserve"> </w:t>
      </w:r>
      <w:r>
        <w:t xml:space="preserve">2.75 kgCO2e</w:t>
      </w:r>
    </w:p>
    <w:p>
      <w:pPr>
        <w:pStyle w:val="BodyText"/>
      </w:pPr>
      <w:r>
        <w:rPr>
          <w:iCs/>
          <w:i/>
        </w:rPr>
        <w:t xml:space="preserve">(Scope 1 emissions would be added here if direct fuel combustion data were provided.)</w:t>
      </w:r>
    </w:p>
    <w:bookmarkEnd w:id="34"/>
    <w:bookmarkStart w:id="35" w:name="Xc78fa9e95fdc5a4841e5055035e97eb6a5c3c11"/>
    <w:p>
      <w:pPr>
        <w:pStyle w:val="Heading3"/>
      </w:pPr>
      <w:r>
        <w:t xml:space="preserve">4.3. Transport / Distribution (Scope 3 - Upstream &amp; Downstream)</w:t>
      </w:r>
    </w:p>
    <w:p>
      <w:pPr>
        <w:pStyle w:val="FirstParagraph"/>
      </w:pPr>
      <w:r>
        <w:t xml:space="preserve">Emissions from transportation of materials and finished products. Illustrative example based on "Select Mode" and "yhhovdoudg":</w:t>
      </w:r>
    </w:p>
    <w:p>
      <w:pPr>
        <w:numPr>
          <w:ilvl w:val="0"/>
          <w:numId w:val="1010"/>
        </w:numPr>
        <w:pStyle w:val="Compact"/>
      </w:pPr>
      <w:r>
        <w:rPr>
          <w:bCs/>
          <w:b/>
        </w:rPr>
        <w:t xml:space="preserve">Product Weight:</w:t>
      </w:r>
      <w:r>
        <w:t xml:space="preserve"> </w:t>
      </w:r>
      <w:r>
        <w:t xml:space="preserve">Illustrative 1 kg (sum of BOM items, for transport calculations)</w:t>
      </w:r>
    </w:p>
    <w:p>
      <w:pPr>
        <w:numPr>
          <w:ilvl w:val="0"/>
          <w:numId w:val="1010"/>
        </w:numPr>
        <w:pStyle w:val="Compact"/>
      </w:pPr>
      <w:r>
        <w:rPr>
          <w:bCs/>
          <w:b/>
        </w:rPr>
        <w:t xml:space="preserve">Ocean Freight (e.g., 10,000 km):</w:t>
      </w:r>
    </w:p>
    <w:p>
      <w:pPr>
        <w:numPr>
          <w:ilvl w:val="1"/>
          <w:numId w:val="1011"/>
        </w:numPr>
        <w:pStyle w:val="Compact"/>
      </w:pPr>
      <w:r>
        <w:rPr>
          <w:bCs/>
          <w:b/>
        </w:rPr>
        <w:t xml:space="preserve">Ocean Freight Emission Factor:</w:t>
      </w:r>
      <w:r>
        <w:t xml:space="preserve"> </w:t>
      </w:r>
      <w:r>
        <w:t xml:space="preserve">Illustrative 0.016 kgCO2e/tonne-km (average for container ships)</w:t>
      </w:r>
    </w:p>
    <w:p>
      <w:pPr>
        <w:numPr>
          <w:ilvl w:val="1"/>
          <w:numId w:val="1011"/>
        </w:numPr>
        <w:pStyle w:val="Compact"/>
      </w:pPr>
      <w:r>
        <w:rPr>
          <w:bCs/>
          <w:b/>
        </w:rPr>
        <w:t xml:space="preserve">Ocean Freight Emissions:</w:t>
      </w:r>
      <w:r>
        <w:t xml:space="preserve"> </w:t>
      </w:r>
      <w:r>
        <w:t xml:space="preserve">1 kg * 10,000 km * 0.016 kgCO2e/tonne-km * (1 tonne / 1000 kg) = 0.16 kgCO2e</w:t>
      </w:r>
    </w:p>
    <w:p>
      <w:pPr>
        <w:numPr>
          <w:ilvl w:val="0"/>
          <w:numId w:val="1010"/>
        </w:numPr>
        <w:pStyle w:val="Compact"/>
      </w:pPr>
      <w:r>
        <w:rPr>
          <w:bCs/>
          <w:b/>
        </w:rPr>
        <w:t xml:space="preserve">Road Freight (e.g., 500 km HGV from port to distribution center in Europe):</w:t>
      </w:r>
    </w:p>
    <w:p>
      <w:pPr>
        <w:numPr>
          <w:ilvl w:val="1"/>
          <w:numId w:val="1012"/>
        </w:numPr>
        <w:pStyle w:val="Compact"/>
      </w:pPr>
      <w:r>
        <w:rPr>
          <w:bCs/>
          <w:b/>
        </w:rPr>
        <w:t xml:space="preserve">Road Freight (HGV) Emission Factor:</w:t>
      </w:r>
      <w:r>
        <w:t xml:space="preserve"> </w:t>
      </w:r>
      <w:r>
        <w:t xml:space="preserve">Illustrative 0.062 kgCO2e/tonne-km (average for road transport operations)</w:t>
      </w:r>
    </w:p>
    <w:p>
      <w:pPr>
        <w:numPr>
          <w:ilvl w:val="1"/>
          <w:numId w:val="1012"/>
        </w:numPr>
        <w:pStyle w:val="Compact"/>
      </w:pPr>
      <w:r>
        <w:rPr>
          <w:bCs/>
          <w:b/>
        </w:rPr>
        <w:t xml:space="preserve">Road Freight Emissions:</w:t>
      </w:r>
      <w:r>
        <w:t xml:space="preserve"> </w:t>
      </w:r>
      <w:r>
        <w:t xml:space="preserve">1 kg * 500 km * 0.062 kgCO2e/tonne-km * (1 tonne / 1000 kg) = 0.031 kgCO2e</w:t>
      </w:r>
    </w:p>
    <w:p>
      <w:pPr>
        <w:numPr>
          <w:ilvl w:val="0"/>
          <w:numId w:val="1010"/>
        </w:numPr>
        <w:pStyle w:val="Compact"/>
      </w:pPr>
      <w:r>
        <w:rPr>
          <w:bCs/>
          <w:b/>
        </w:rPr>
        <w:t xml:space="preserve">Last-Mile Delivery Channel:</w:t>
      </w:r>
      <w:r>
        <w:t xml:space="preserve"> </w:t>
      </w:r>
      <w:r>
        <w:t xml:space="preserve">"Delivery Type" (Illustrative: Light Commercial Vehicle - LCV)</w:t>
      </w:r>
    </w:p>
    <w:p>
      <w:pPr>
        <w:numPr>
          <w:ilvl w:val="1"/>
          <w:numId w:val="1013"/>
        </w:numPr>
        <w:pStyle w:val="Compact"/>
      </w:pPr>
      <w:r>
        <w:rPr>
          <w:bCs/>
          <w:b/>
        </w:rPr>
        <w:t xml:space="preserve">Last-Mile Emission Factor (LCV):</w:t>
      </w:r>
      <w:r>
        <w:t xml:space="preserve"> </w:t>
      </w:r>
      <w:r>
        <w:t xml:space="preserve">Illustrative 0.200 kgCO2e/km</w:t>
      </w:r>
    </w:p>
    <w:p>
      <w:pPr>
        <w:numPr>
          <w:ilvl w:val="1"/>
          <w:numId w:val="1013"/>
        </w:numPr>
        <w:pStyle w:val="Compact"/>
      </w:pPr>
      <w:r>
        <w:rPr>
          <w:bCs/>
          <w:b/>
        </w:rPr>
        <w:t xml:space="preserve">Last-Mile Distance:</w:t>
      </w:r>
      <w:r>
        <w:t xml:space="preserve"> </w:t>
      </w:r>
      <w:r>
        <w:t xml:space="preserve">Illustrative 50 km</w:t>
      </w:r>
    </w:p>
    <w:p>
      <w:pPr>
        <w:numPr>
          <w:ilvl w:val="1"/>
          <w:numId w:val="1013"/>
        </w:numPr>
        <w:pStyle w:val="Compact"/>
      </w:pPr>
      <w:r>
        <w:rPr>
          <w:bCs/>
          <w:b/>
        </w:rPr>
        <w:t xml:space="preserve">Last-Mile Emissions:</w:t>
      </w:r>
      <w:r>
        <w:t xml:space="preserve"> </w:t>
      </w:r>
      <w:r>
        <w:t xml:space="preserve">50 km * 0.200 kgCO2e/km = 10.00 kgCO2e</w:t>
      </w:r>
    </w:p>
    <w:p>
      <w:pPr>
        <w:pStyle w:val="FirstParagraph"/>
      </w:pPr>
      <w:r>
        <w:rPr>
          <w:bCs/>
          <w:b/>
        </w:rPr>
        <w:t xml:space="preserve">Illustrative Total Transport Emissions (Scope 3):</w:t>
      </w:r>
      <w:r>
        <w:t xml:space="preserve"> </w:t>
      </w:r>
      <w:r>
        <w:t xml:space="preserve">0.16 + 0.031 + 10.00 = 10.191 kgCO2e</w:t>
      </w:r>
    </w:p>
    <w:bookmarkEnd w:id="35"/>
    <w:bookmarkStart w:id="36" w:name="use-phase-scope-3---downstream"/>
    <w:p>
      <w:pPr>
        <w:pStyle w:val="Heading3"/>
      </w:pPr>
      <w:r>
        <w:t xml:space="preserve">4.4. Use Phase (Scope 3 - Downstream)</w:t>
      </w:r>
    </w:p>
    <w:p>
      <w:pPr>
        <w:pStyle w:val="FirstParagraph"/>
      </w:pPr>
      <w:r>
        <w:t xml:space="preserve">Based on product lifespan and energy consumption during use:</w:t>
      </w:r>
    </w:p>
    <w:p>
      <w:pPr>
        <w:numPr>
          <w:ilvl w:val="0"/>
          <w:numId w:val="1014"/>
        </w:numPr>
        <w:pStyle w:val="Compact"/>
      </w:pPr>
      <w:r>
        <w:rPr>
          <w:bCs/>
          <w:b/>
        </w:rPr>
        <w:t xml:space="preserve">Product Lifespan:</w:t>
      </w:r>
      <w:r>
        <w:t xml:space="preserve"> </w:t>
      </w:r>
      <w:r>
        <w:t xml:space="preserve">`yrxwhpxrxt` (Illustrative: 5 years)</w:t>
      </w:r>
    </w:p>
    <w:p>
      <w:pPr>
        <w:numPr>
          <w:ilvl w:val="0"/>
          <w:numId w:val="1014"/>
        </w:numPr>
        <w:pStyle w:val="Compact"/>
      </w:pPr>
      <w:r>
        <w:rPr>
          <w:bCs/>
          <w:b/>
        </w:rPr>
        <w:t xml:space="preserve">Energy Consumption in Use:</w:t>
      </w:r>
      <w:r>
        <w:t xml:space="preserve"> </w:t>
      </w:r>
      <w:r>
        <w:t xml:space="preserve">`oodxrjpiho` (Illustrative: 20 kWh/year)</w:t>
      </w:r>
    </w:p>
    <w:p>
      <w:pPr>
        <w:numPr>
          <w:ilvl w:val="0"/>
          <w:numId w:val="1014"/>
        </w:numPr>
        <w:pStyle w:val="Compact"/>
      </w:pPr>
      <w:r>
        <w:rPr>
          <w:bCs/>
          <w:b/>
        </w:rPr>
        <w:t xml:space="preserve">Average Grid Emission Factor (Europe, e.g., EU-27 average):</w:t>
      </w:r>
      <w:r>
        <w:t xml:space="preserve"> </w:t>
      </w:r>
      <w:r>
        <w:t xml:space="preserve">Illustrative 0.25 kgCO2e/kWh (based on EU-27 average of 0.2883 kgCO2-eq/kWhel)</w:t>
      </w:r>
    </w:p>
    <w:p>
      <w:pPr>
        <w:pStyle w:val="FirstParagraph"/>
      </w:pPr>
      <w:r>
        <w:rPr>
          <w:bCs/>
          <w:b/>
        </w:rPr>
        <w:t xml:space="preserve">Illustrative Calculation:</w:t>
      </w:r>
    </w:p>
    <w:p>
      <w:pPr>
        <w:pStyle w:val="BodyText"/>
      </w:pPr>
      <w:r>
        <w:t xml:space="preserve">Total Energy Consumption: 5 years * 20 kWh/year = 100 kWh</w:t>
      </w:r>
    </w:p>
    <w:p>
      <w:pPr>
        <w:pStyle w:val="BodyText"/>
      </w:pPr>
      <w:r>
        <w:t xml:space="preserve">Use Phase Emissions: 100 kWh * 0.25 kgCO2e/kWh = 25.00 kgCO2e</w:t>
      </w:r>
    </w:p>
    <w:p>
      <w:pPr>
        <w:pStyle w:val="BodyText"/>
      </w:pPr>
      <w:r>
        <w:rPr>
          <w:bCs/>
          <w:b/>
        </w:rPr>
        <w:t xml:space="preserve">Illustrative Total Use Phase Emissions (Scope 3):</w:t>
      </w:r>
      <w:r>
        <w:t xml:space="preserve"> </w:t>
      </w:r>
      <w:r>
        <w:t xml:space="preserve">25.00 kgCO2e</w:t>
      </w:r>
    </w:p>
    <w:bookmarkEnd w:id="36"/>
    <w:bookmarkStart w:id="37" w:name="end-of-life-eol-scope-3---downstream"/>
    <w:p>
      <w:pPr>
        <w:pStyle w:val="Heading3"/>
      </w:pPr>
      <w:r>
        <w:t xml:space="preserve">4.5. End-of-Life (EoL) (Scope 3 - Downstream)</w:t>
      </w:r>
    </w:p>
    <w:p>
      <w:pPr>
        <w:pStyle w:val="FirstParagraph"/>
      </w:pPr>
      <w:r>
        <w:t xml:space="preserve">EoL scenarios account for emissions from disposal and potential avoided emissions from recycling or circular programs.</w:t>
      </w:r>
    </w:p>
    <w:p>
      <w:pPr>
        <w:numPr>
          <w:ilvl w:val="0"/>
          <w:numId w:val="1015"/>
        </w:numPr>
        <w:pStyle w:val="Compact"/>
      </w:pPr>
      <w:r>
        <w:rPr>
          <w:bCs/>
          <w:b/>
        </w:rPr>
        <w:t xml:space="preserve">Recyclability Percentage:</w:t>
      </w:r>
      <w:r>
        <w:t xml:space="preserve"> </w:t>
      </w:r>
      <w:r>
        <w:t xml:space="preserve">`vshdqpqqti` (Illustrative: 70%)</w:t>
      </w:r>
    </w:p>
    <w:p>
      <w:pPr>
        <w:numPr>
          <w:ilvl w:val="0"/>
          <w:numId w:val="1015"/>
        </w:numPr>
        <w:pStyle w:val="Compact"/>
      </w:pPr>
      <w:r>
        <w:rPr>
          <w:bCs/>
          <w:b/>
        </w:rPr>
        <w:t xml:space="preserve">Circular/Take-back Programs:</w:t>
      </w:r>
      <w:r>
        <w:t xml:space="preserve"> </w:t>
      </w:r>
      <w:r>
        <w:t xml:space="preserve">`gysphssjxx` (Illustrative: Yes, active take-back program)</w:t>
      </w:r>
    </w:p>
    <w:p>
      <w:pPr>
        <w:numPr>
          <w:ilvl w:val="0"/>
          <w:numId w:val="1015"/>
        </w:numPr>
        <w:pStyle w:val="Compact"/>
      </w:pPr>
      <w:r>
        <w:rPr>
          <w:bCs/>
          <w:b/>
        </w:rPr>
        <w:t xml:space="preserve">Illustrative Emission Factor for Landfill:</w:t>
      </w:r>
      <w:r>
        <w:t xml:space="preserve"> </w:t>
      </w:r>
      <w:r>
        <w:t xml:space="preserve">0.5 kgCO2e/kg (for non-recyclable portion)</w:t>
      </w:r>
    </w:p>
    <w:p>
      <w:pPr>
        <w:numPr>
          <w:ilvl w:val="0"/>
          <w:numId w:val="1015"/>
        </w:numPr>
        <w:pStyle w:val="Compact"/>
      </w:pPr>
      <w:r>
        <w:rPr>
          <w:bCs/>
          <w:b/>
        </w:rPr>
        <w:t xml:space="preserve">Illustrative Avoided Emissions Factor for Recycling:</w:t>
      </w:r>
      <w:r>
        <w:t xml:space="preserve"> </w:t>
      </w:r>
      <w:r>
        <w:t xml:space="preserve">-1.0 kgCO2e/kg (credit for recycled materials)</w:t>
      </w:r>
    </w:p>
    <w:p>
      <w:pPr>
        <w:numPr>
          <w:ilvl w:val="0"/>
          <w:numId w:val="1015"/>
        </w:numPr>
        <w:pStyle w:val="Compact"/>
      </w:pPr>
      <w:r>
        <w:rPr>
          <w:bCs/>
          <w:b/>
        </w:rPr>
        <w:t xml:space="preserve">Illustrative Product Weight:</w:t>
      </w:r>
      <w:r>
        <w:t xml:space="preserve"> </w:t>
      </w:r>
      <w:r>
        <w:t xml:space="preserve">1 kg</w:t>
      </w:r>
    </w:p>
    <w:p>
      <w:pPr>
        <w:pStyle w:val="FirstParagraph"/>
      </w:pPr>
      <w:r>
        <w:rPr>
          <w:bCs/>
          <w:b/>
        </w:rPr>
        <w:t xml:space="preserve">Illustrative Calculation:</w:t>
      </w:r>
    </w:p>
    <w:p>
      <w:pPr>
        <w:pStyle w:val="BodyText"/>
      </w:pPr>
      <w:r>
        <w:t xml:space="preserve">Recycled portion: 1 kg * 0.70 = 0.7 kg</w:t>
      </w:r>
    </w:p>
    <w:p>
      <w:pPr>
        <w:pStyle w:val="BodyText"/>
      </w:pPr>
      <w:r>
        <w:t xml:space="preserve">Landfilled portion: 1 kg * (1 - 0.70) = 0.3 kg</w:t>
      </w:r>
    </w:p>
    <w:p>
      <w:pPr>
        <w:pStyle w:val="BodyText"/>
      </w:pPr>
      <w:r>
        <w:t xml:space="preserve">Landfill Emissions: 0.3 kg * 0.5 kgCO2e/kg = 0.15 kgCO2e</w:t>
      </w:r>
    </w:p>
    <w:p>
      <w:pPr>
        <w:pStyle w:val="BodyText"/>
      </w:pPr>
      <w:r>
        <w:t xml:space="preserve">Recycling Credits (Avoided Emissions): 0.7 kg * (-1.0 kgCO2e/kg) = -0.70 kgCO2e</w:t>
      </w:r>
    </w:p>
    <w:p>
      <w:pPr>
        <w:pStyle w:val="BodyText"/>
      </w:pPr>
      <w:r>
        <w:rPr>
          <w:iCs/>
          <w:i/>
        </w:rPr>
        <w:t xml:space="preserve">(The existence of take-back programs, `gysphssjxx`, further enhances the potential for higher recycling rates and better material recovery, reinforcing these avoided emissions.)</w:t>
      </w:r>
    </w:p>
    <w:p>
      <w:pPr>
        <w:pStyle w:val="BodyText"/>
      </w:pPr>
      <w:r>
        <w:rPr>
          <w:bCs/>
          <w:b/>
        </w:rPr>
        <w:t xml:space="preserve">Illustrative Total End-of-Life Emissions (Scope 3):</w:t>
      </w:r>
      <w:r>
        <w:t xml:space="preserve"> </w:t>
      </w:r>
      <w:r>
        <w:t xml:space="preserve">0.15 + (-0.70) = -0.55 kgCO2e (Net avoided emissions)</w:t>
      </w:r>
    </w:p>
    <w:bookmarkEnd w:id="37"/>
    <w:bookmarkStart w:id="38" w:name="application-of-2026-lsr-update"/>
    <w:p>
      <w:pPr>
        <w:pStyle w:val="Heading3"/>
      </w:pPr>
      <w:r>
        <w:t xml:space="preserve">4.6. Application of 2026 LSR Update</w:t>
      </w:r>
    </w:p>
    <w:p>
      <w:pPr>
        <w:pStyle w:val="FirstParagraph"/>
      </w:pPr>
      <w:r>
        <w:t xml:space="preserve">The Land Sector and Removals (LSR) Standard (2026 update) is a critical addition to the GHG Protocol, providing accounting requirements and guidance for land emissions, CO₂ removals, and biogenic products. The standard was released on January 30, 2026, and takes effect on January 1, 2027. Accompanying guidance is expected in the second quarter of 2026.</w:t>
      </w:r>
    </w:p>
    <w:p>
      <w:pPr>
        <w:pStyle w:val="BodyText"/>
      </w:pPr>
      <w:r>
        <w:t xml:space="preserve">For this report, while specific land use data for qsixirzutv\'s supply chain is not provided, the methodology would integrate the LSR Standard by:</w:t>
      </w:r>
    </w:p>
    <w:p>
      <w:pPr>
        <w:numPr>
          <w:ilvl w:val="0"/>
          <w:numId w:val="1016"/>
        </w:numPr>
        <w:pStyle w:val="Compact"/>
      </w:pPr>
      <w:r>
        <w:rPr>
          <w:bCs/>
          <w:b/>
        </w:rPr>
        <w:t xml:space="preserve">Land Use Change (LUC) Emissions:</w:t>
      </w:r>
      <w:r>
        <w:t xml:space="preserve"> </w:t>
      </w:r>
      <w:r>
        <w:t xml:space="preserve">Quantifying emissions or removals from direct and indirect land use changes associated with raw material sourcing, especially for bio-based materials or agriculture-derived components.</w:t>
      </w:r>
    </w:p>
    <w:p>
      <w:pPr>
        <w:numPr>
          <w:ilvl w:val="0"/>
          <w:numId w:val="1016"/>
        </w:numPr>
        <w:pStyle w:val="Compact"/>
      </w:pPr>
      <w:r>
        <w:rPr>
          <w:bCs/>
          <w:b/>
        </w:rPr>
        <w:t xml:space="preserve">Carbon Removals:</w:t>
      </w:r>
      <w:r>
        <w:t xml:space="preserve"> </w:t>
      </w:r>
      <w:r>
        <w:t xml:space="preserve">Accounting for activities within the value chain that actively remove CO2 from the atmosphere, such as enhanced natural carbon sinks or technological solutions like Direct Air Capture (DAC) if applicable to the product or its supply chain.</w:t>
      </w:r>
    </w:p>
    <w:p>
      <w:pPr>
        <w:numPr>
          <w:ilvl w:val="0"/>
          <w:numId w:val="1016"/>
        </w:numPr>
        <w:pStyle w:val="Compact"/>
      </w:pPr>
      <w:r>
        <w:rPr>
          <w:bCs/>
          <w:b/>
        </w:rPr>
        <w:t xml:space="preserve">Biogenic Products:</w:t>
      </w:r>
      <w:r>
        <w:t xml:space="preserve"> </w:t>
      </w:r>
      <w:r>
        <w:t xml:space="preserve">Addressing emissions from biogenic carbon flows (e.g., from wood, cotton) throughout the product lifecycle.</w:t>
      </w:r>
    </w:p>
    <w:p>
      <w:pPr>
        <w:pStyle w:val="FirstParagraph"/>
      </w:pPr>
      <w:r>
        <w:t xml:space="preserve">The LSR Standard fills a crucial gap, enabling companies to account for land-sector emissions and removals with robust integrity safeguards, supporting mitigation strategies and target setting.</w:t>
      </w:r>
    </w:p>
    <w:bookmarkEnd w:id="38"/>
    <w:bookmarkStart w:id="39" w:name="scope-3-compliance-95-coverage"/>
    <w:p>
      <w:pPr>
        <w:pStyle w:val="Heading3"/>
      </w:pPr>
      <w:r>
        <w:t xml:space="preserve">4.7. Scope 3 Compliance (95% Coverage)</w:t>
      </w:r>
    </w:p>
    <w:p>
      <w:pPr>
        <w:pStyle w:val="FirstParagraph"/>
      </w:pPr>
      <w:r>
        <w:t xml:space="preserve">As per 2026 requirements, this analysis commits to ensuring at least 95% coverage for Scope 3 reporting. This means meticulous data collection across all 15 Scope 3 categories to minimize exclusions and provide a comprehensive view of value chain emissions. The detailed breakdown in this report aims to capture significant upstream and downstream emissions, demonstrating a pathway to this comprehensive coverage.</w:t>
      </w:r>
    </w:p>
    <w:p>
      <w:r>
        <w:pict>
          <v:rect style="width:0;height:1.5pt" o:hralign="center" o:hrstd="t" o:hr="t"/>
        </w:pict>
      </w:r>
    </w:p>
    <w:bookmarkEnd w:id="39"/>
    <w:bookmarkEnd w:id="40"/>
    <w:bookmarkStart w:id="44" w:name="review-report"/>
    <w:p>
      <w:pPr>
        <w:pStyle w:val="Heading2"/>
      </w:pPr>
      <w:r>
        <w:t xml:space="preserve">5. Review &amp; Report</w:t>
      </w:r>
    </w:p>
    <w:bookmarkStart w:id="41" w:name="Xf23ae3d122b8cc96967f70f89d9c70cd5816828"/>
    <w:p>
      <w:pPr>
        <w:pStyle w:val="Heading3"/>
      </w:pPr>
      <w:r>
        <w:t xml:space="preserve">5.1. Summary of Illustrative Product Carbon Footprint (PCF) for qsixirzutv</w:t>
      </w:r>
    </w:p>
    <w:p>
      <w:pPr>
        <w:pStyle w:val="FirstParagraph"/>
      </w:pPr>
      <w:r>
        <w:t xml:space="preserve">Based on the illustrative calculations, the estimated PCF for qsixirzutv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7.50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2.75</w:t>
            </w:r>
          </w:p>
        </w:tc>
      </w:tr>
      <w:tr>
        <w:tc>
          <w:tcPr/>
          <w:p>
            <w:pPr>
              <w:pStyle w:val="Compact"/>
              <w:jc w:val="left"/>
            </w:pPr>
            <w:r>
              <w:t xml:space="preserve">Transport / Distribution</w:t>
            </w:r>
          </w:p>
        </w:tc>
        <w:tc>
          <w:tcPr/>
          <w:p>
            <w:pPr>
              <w:pStyle w:val="Compact"/>
              <w:jc w:val="left"/>
            </w:pPr>
            <w:r>
              <w:t xml:space="preserve">Scope 3 (Upstream &amp; Downstream)</w:t>
            </w:r>
          </w:p>
        </w:tc>
        <w:tc>
          <w:tcPr/>
          <w:p>
            <w:pPr>
              <w:pStyle w:val="Compact"/>
              <w:jc w:val="left"/>
            </w:pPr>
            <w:r>
              <w:t xml:space="preserve">10.191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-0.55</w:t>
            </w:r>
          </w:p>
        </w:tc>
      </w:tr>
      <w:tr>
        <w:tc>
          <w:tcPr/>
          <w:p>
            <w:pPr>
              <w:pStyle w:val="Compact"/>
              <w:jc w:val="left"/>
            </w:pPr>
            <w:r>
              <w:rPr>
                <w:bCs/>
                <w:b/>
              </w:rPr>
              <w:t xml:space="preserve">Total Illustrative PCF</w:t>
            </w:r>
          </w:p>
        </w:tc>
        <w:tc>
          <w:tcPr/>
          <w:p>
            <w:pPr>
              <w:pStyle w:val="Compact"/>
            </w:pPr>
          </w:p>
        </w:tc>
        <w:tc>
          <w:tcPr/>
          <w:p>
            <w:pPr>
              <w:pStyle w:val="Compact"/>
              <w:jc w:val="left"/>
            </w:pPr>
            <w:r>
              <w:rPr>
                <w:bCs/>
                <w:b/>
              </w:rPr>
              <w:t xml:space="preserve">44.891</w:t>
            </w:r>
          </w:p>
        </w:tc>
      </w:tr>
    </w:tbl>
    <w:bookmarkEnd w:id="41"/>
    <w:bookmarkStart w:id="42" w:name="emission-hotspots-and-reliability"/>
    <w:p>
      <w:pPr>
        <w:pStyle w:val="Heading3"/>
      </w:pPr>
      <w:r>
        <w:t xml:space="preserve">5.2. Emission Hotspots and Reliability</w:t>
      </w:r>
    </w:p>
    <w:p>
      <w:pPr>
        <w:pStyle w:val="FirstParagraph"/>
      </w:pPr>
      <w:r>
        <w:t xml:space="preserve">Based on the illustrative data, the primary emission hotspots for qsixirzutv are:</w:t>
      </w:r>
    </w:p>
    <w:p>
      <w:pPr>
        <w:numPr>
          <w:ilvl w:val="0"/>
          <w:numId w:val="1017"/>
        </w:numPr>
        <w:pStyle w:val="Compact"/>
      </w:pPr>
      <w:r>
        <w:rPr>
          <w:bCs/>
          <w:b/>
        </w:rPr>
        <w:t xml:space="preserve">Use Phase (25.00 kgCO2e):</w:t>
      </w:r>
      <w:r>
        <w:t xml:space="preserve"> </w:t>
      </w:r>
      <w:r>
        <w:t xml:space="preserve">This is the largest contributor, highlighting the importance of energy efficiency during product operation.</w:t>
      </w:r>
    </w:p>
    <w:p>
      <w:pPr>
        <w:numPr>
          <w:ilvl w:val="0"/>
          <w:numId w:val="1017"/>
        </w:numPr>
        <w:pStyle w:val="Compact"/>
      </w:pPr>
      <w:r>
        <w:rPr>
          <w:bCs/>
          <w:b/>
        </w:rPr>
        <w:t xml:space="preserve">Transport/Distribution (10.191 kgCO2e):</w:t>
      </w:r>
      <w:r>
        <w:t xml:space="preserve"> </w:t>
      </w:r>
      <w:r>
        <w:t xml:space="preserve">Particularly last-mile delivery, indicating logistics as a critical area for optimization.</w:t>
      </w:r>
    </w:p>
    <w:p>
      <w:pPr>
        <w:numPr>
          <w:ilvl w:val="0"/>
          <w:numId w:val="1017"/>
        </w:numPr>
        <w:pStyle w:val="Compact"/>
      </w:pPr>
      <w:r>
        <w:rPr>
          <w:bCs/>
          <w:b/>
        </w:rPr>
        <w:t xml:space="preserve">Raw Material Acquisition (7.50 kgCO2e):</w:t>
      </w:r>
      <w:r>
        <w:t xml:space="preserve"> </w:t>
      </w:r>
      <w:r>
        <w:t xml:space="preserve">Emphasizes the need for sustainable material sourcing and design for lower impact materials.</w:t>
      </w:r>
    </w:p>
    <w:p>
      <w:pPr>
        <w:pStyle w:val="FirstParagraph"/>
      </w:pPr>
      <w:r>
        <w:rPr>
          <w:bCs/>
          <w:b/>
        </w:rPr>
        <w:t xml:space="preserve">Reliability:</w:t>
      </w:r>
      <w:r>
        <w:t xml:space="preserve"> </w:t>
      </w:r>
      <w:r>
        <w:t xml:space="preserve">The reliability of this report, for actual calculations, would depend heavily on the quality and completeness of primary data. Given the use of illustrative data for specific parameters, the provided figures are for methodological demonstration. A robust PCF would require detailed, verifiable data for all input parameters, especially for `stkgmvds` (BOM), `yhhovdoudg` (transport distance), `kqdphxrtpd` (renewable energy), `ljfurivmup` (energy intensity), `yrxwhpxrxt` (lifespan), `oodxrjpiho` (energy in use), `vshdqpqqti` (recyclability), and `gysphssjxx` (circular programs). Emission factors from recognized databases (Ecoinvent, DEFRA) enhance reliability for secondary data. The emission factors used in this illustrative analysis are based on publicly available averages, and actual values may vary depending on specific operational details.</w:t>
      </w:r>
    </w:p>
    <w:bookmarkEnd w:id="42"/>
    <w:bookmarkStart w:id="43" w:name="recommendations-for-qsixirzutv"/>
    <w:p>
      <w:pPr>
        <w:pStyle w:val="Heading3"/>
      </w:pPr>
      <w:r>
        <w:t xml:space="preserve">5.3. Recommendations for qsixirzutv</w:t>
      </w:r>
    </w:p>
    <w:p>
      <w:pPr>
        <w:numPr>
          <w:ilvl w:val="0"/>
          <w:numId w:val="1018"/>
        </w:numPr>
        <w:pStyle w:val="Compact"/>
      </w:pPr>
      <w:r>
        <w:rPr>
          <w:bCs/>
          <w:b/>
        </w:rPr>
        <w:t xml:space="preserve">Optimize Use Phase:</w:t>
      </w:r>
      <w:r>
        <w:t xml:space="preserve"> </w:t>
      </w:r>
      <w:r>
        <w:t xml:space="preserve">Invest in product design for enhanced energy efficiency, extend product lifespan, and educate users on energy-saving operation.</w:t>
      </w:r>
    </w:p>
    <w:p>
      <w:pPr>
        <w:numPr>
          <w:ilvl w:val="0"/>
          <w:numId w:val="1018"/>
        </w:numPr>
        <w:pStyle w:val="Compact"/>
      </w:pPr>
      <w:r>
        <w:rPr>
          <w:bCs/>
          <w:b/>
        </w:rPr>
        <w:t xml:space="preserve">Sustainable Logistics:</w:t>
      </w:r>
      <w:r>
        <w:t xml:space="preserve"> </w:t>
      </w:r>
      <w:r>
        <w:t xml:space="preserve">Explore lower-carbon transport modes (e.g., rail, electric vehicles for last-mile), optimize routes, and consolidate shipments, especially for the Europe-focused supply chain.</w:t>
      </w:r>
    </w:p>
    <w:p>
      <w:pPr>
        <w:numPr>
          <w:ilvl w:val="0"/>
          <w:numId w:val="1018"/>
        </w:numPr>
        <w:pStyle w:val="Compact"/>
      </w:pPr>
      <w:r>
        <w:rPr>
          <w:bCs/>
          <w:b/>
        </w:rPr>
        <w:t xml:space="preserve">Material Circularity:</w:t>
      </w:r>
      <w:r>
        <w:t xml:space="preserve"> </w:t>
      </w:r>
      <w:r>
        <w:t xml:space="preserve">Prioritize sourcing of recycled or low-carbon materials, increase recyclability beyond `vshdqpqqti` (e.g., 70% in example), and actively promote and expand circular/take-back programs (`gysphssjxx`).</w:t>
      </w:r>
    </w:p>
    <w:p>
      <w:pPr>
        <w:numPr>
          <w:ilvl w:val="0"/>
          <w:numId w:val="1018"/>
        </w:numPr>
        <w:pStyle w:val="Compact"/>
      </w:pPr>
      <w:r>
        <w:rPr>
          <w:bCs/>
          <w:b/>
        </w:rPr>
        <w:t xml:space="preserve">Renewable Energy Integration:</w:t>
      </w:r>
      <w:r>
        <w:t xml:space="preserve"> </w:t>
      </w:r>
      <w:r>
        <w:t xml:space="preserve">Maximize the use of renewable energy in manufacturing facilities beyond `kqdphxrtpd` (e.g., 50% in example) through on-site generation or renewable energy procurement.</w:t>
      </w:r>
    </w:p>
    <w:p>
      <w:pPr>
        <w:numPr>
          <w:ilvl w:val="0"/>
          <w:numId w:val="1018"/>
        </w:numPr>
        <w:pStyle w:val="Compact"/>
      </w:pPr>
      <w:r>
        <w:rPr>
          <w:bCs/>
          <w:b/>
        </w:rPr>
        <w:t xml:space="preserve">Data Granularity:</w:t>
      </w:r>
      <w:r>
        <w:t xml:space="preserve"> </w:t>
      </w:r>
      <w:r>
        <w:t xml:space="preserve">For future analyses, focus on collecting more granular, product-specific primary data across the entire value chain to improve accuracy and identify more precise hotspots.</w:t>
      </w:r>
    </w:p>
    <w:p>
      <w:pPr>
        <w:numPr>
          <w:ilvl w:val="0"/>
          <w:numId w:val="1018"/>
        </w:numPr>
        <w:pStyle w:val="Compact"/>
      </w:pPr>
      <w:r>
        <w:rPr>
          <w:bCs/>
          <w:b/>
        </w:rPr>
        <w:t xml:space="preserve">LSR Implementation:</w:t>
      </w:r>
      <w:r>
        <w:t xml:space="preserve"> </w:t>
      </w:r>
      <w:r>
        <w:t xml:space="preserve">Actively track and report land use change impacts and carbon removals where applicable in the supply chain to fully comply with the 2026 LSR Standard.</w:t>
      </w:r>
    </w:p>
    <w:p>
      <w:r>
        <w:pict>
          <v:rect style="width:0;height:1.5pt" o:hralign="center" o:hrstd="t" o:hr="t"/>
        </w:pict>
      </w:r>
    </w:p>
    <w:p>
      <w:pPr>
        <w:pStyle w:val="FirstParagraph"/>
      </w:pPr>
      <w:r>
        <w:t xml:space="preserve">Confidential - Internal Use Only | Page 1 of 1 (Illustrative)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qsixirzutv</dc:title>
  <dc:creator/>
  <dc:description>Detailed Product Carbon Footprint (PCF) analysis report for product qsixirzutv, prepared by Senior Sustainability Consultant uvjtwksmpd for zywmdnyysx, adhering to GHG Protocol standards and 2026 LSR updates.</dc:description>
  <dc:language>en</dc:language>
  <cp:keywords/>
  <dcterms:created xsi:type="dcterms:W3CDTF">2026-05-30T16:49:15Z</dcterms:created>
  <dcterms:modified xsi:type="dcterms:W3CDTF">2026-05-30T16:49:15Z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