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qrxnnllsgp</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qrxnnllsgp"/>
    <w:p>
      <w:pPr>
        <w:pStyle w:val="Heading2"/>
      </w:pPr>
      <w:r>
        <w:t xml:space="preserve">For Product: qrxnnllsgp</w:t>
      </w:r>
    </w:p>
    <w:p>
      <w:pPr>
        <w:pStyle w:val="FirstParagraph"/>
      </w:pPr>
      <w:r>
        <w:rPr>
          <w:bCs/>
          <w:b/>
        </w:rPr>
        <w:t xml:space="preserve">Company Name:</w:t>
      </w:r>
      <w:r>
        <w:t xml:space="preserve"> </w:t>
      </w:r>
      <w:r>
        <w:t xml:space="preserve">owigtolvtg</w:t>
      </w:r>
    </w:p>
    <w:p>
      <w:pPr>
        <w:pStyle w:val="BodyText"/>
      </w:pPr>
      <w:r>
        <w:rPr>
          <w:bCs/>
          <w:b/>
        </w:rPr>
        <w:t xml:space="preserve">Senior Sustainability Consultant:</w:t>
      </w:r>
      <w:r>
        <w:t xml:space="preserve"> </w:t>
      </w:r>
      <w:r>
        <w:t xml:space="preserve">rpurppvjwd</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at the time of publication. While every effort has been made to ensure accuracy and completeness, the dynamic nature of supply chains and evolving methodologies may lead to future revisions. This analysis provides a robust estimate for strategic decision-making.</w:t>
      </w:r>
    </w:p>
    <w:bookmarkEnd w:id="20"/>
    <w:bookmarkEnd w:id="21"/>
    <w:bookmarkStart w:id="50"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qrxnnllsgp</w:t>
      </w:r>
      <w:r>
        <w:t xml:space="preserve">, manufactured by</w:t>
      </w:r>
      <w:r>
        <w:t xml:space="preserve"> </w:t>
      </w:r>
      <w:r>
        <w:rPr>
          <w:bCs/>
          <w:b/>
        </w:rPr>
        <w:t xml:space="preserve">owigtolvtg</w:t>
      </w:r>
      <w:r>
        <w:t xml:space="preserve">. The analysis was conducted by</w:t>
      </w:r>
      <w:r>
        <w:t xml:space="preserve"> </w:t>
      </w:r>
      <w:r>
        <w:rPr>
          <w:bCs/>
          <w:b/>
        </w:rPr>
        <w:t xml:space="preserve">rpurppvjwd</w:t>
      </w:r>
      <w:r>
        <w:t xml:space="preserve">, a Senior Sustainability Consultant specializing in the GHG Protocol. The objective is to quantify the greenhouse gas (GHG) emissions associated with the product across its entire lifecycle, from material extraction to end-of-life, adhering strictly to the GHG Protocol standards, including the 2026 Land Sector and Removals (LSR) Update and ensuring at least 95% Scope 3 coverage. This assessment identifies key emission hotspots, provides transparency into the product\'s environmental impact, and supports strategic efforts for emissions reduction.</w:t>
      </w:r>
    </w:p>
    <w:p>
      <w:r>
        <w:pict>
          <v:rect style="width:0;height:1.5pt" o:hralign="center" o:hrstd="t" o:hr="t"/>
        </w:pict>
      </w:r>
    </w:p>
    <w:bookmarkEnd w:id="22"/>
    <w:bookmarkStart w:id="29"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qrxnnllsgp</w:t>
      </w:r>
      <w:r>
        <w:t xml:space="preserve"> </w:t>
      </w:r>
      <w:r>
        <w:t xml:space="preserve">has been calculated following the five-step methodology prescribed by the GHG Protocol Product Standard.</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qrxnnllsgp</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with additional calculations extending to "cradle-to-grave" to cover the entire product lifecycle including the use phase and end-of-life treatment. This covers raw material acquisition, manufacturing, transportation, use, and disposal phases.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final distribution emphasis)</w:t>
      </w:r>
    </w:p>
    <w:bookmarkEnd w:id="25"/>
    <w:bookmarkStart w:id="26" w:name="accounting-standard"/>
    <w:p>
      <w:pPr>
        <w:pStyle w:val="Heading3"/>
      </w:pPr>
      <w:r>
        <w:t xml:space="preserve">1.4. Accounting Standard</w:t>
      </w:r>
    </w:p>
    <w:p>
      <w:pPr>
        <w:pStyle w:val="FirstParagraph"/>
      </w:pPr>
      <w:r>
        <w:t xml:space="preserve">All emissions are categorized and reported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This framework classifies emissions into three scopes:</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owigtolvtg</w:t>
      </w:r>
      <w:r>
        <w:t xml:space="preserve">.</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w:t>
      </w:r>
      <w:r>
        <w:t xml:space="preserve"> </w:t>
      </w:r>
      <w:r>
        <w:rPr>
          <w:bCs/>
          <w:b/>
        </w:rPr>
        <w:t xml:space="preserve">owigtolvtg</w:t>
      </w:r>
      <w:r>
        <w:t xml:space="preserve">.</w:t>
      </w:r>
    </w:p>
    <w:p>
      <w:pPr>
        <w:numPr>
          <w:ilvl w:val="0"/>
          <w:numId w:val="1002"/>
        </w:numPr>
        <w:pStyle w:val="Compact"/>
      </w:pPr>
      <w:r>
        <w:rPr>
          <w:bCs/>
          <w:b/>
        </w:rPr>
        <w:t xml:space="preserve">Scope 3:</w:t>
      </w:r>
      <w:r>
        <w:t xml:space="preserve"> </w:t>
      </w:r>
      <w:r>
        <w:t xml:space="preserve">All other indirect emissions that occur in the value chain of</w:t>
      </w:r>
      <w:r>
        <w:t xml:space="preserve"> </w:t>
      </w:r>
      <w:r>
        <w:rPr>
          <w:bCs/>
          <w:b/>
        </w:rPr>
        <w:t xml:space="preserve">owigtolvtg</w:t>
      </w:r>
      <w:r>
        <w:t xml:space="preserve">, both upstream (e.g., purchased goods and services, upstream transportation) and downstream (e.g., use of sold products, end-of-life treatment of sold products).</w:t>
      </w:r>
    </w:p>
    <w:bookmarkEnd w:id="26"/>
    <w:bookmarkStart w:id="27" w:name="lsr-update-application"/>
    <w:p>
      <w:pPr>
        <w:pStyle w:val="Heading3"/>
      </w:pPr>
      <w:r>
        <w:t xml:space="preserve">1.5. 2026 LSR Update Application</w:t>
      </w:r>
    </w:p>
    <w:p>
      <w:pPr>
        <w:pStyle w:val="FirstParagraph"/>
      </w:pPr>
      <w:r>
        <w:t xml:space="preserve">The Land Sector and Removals (LSR) Standard, released on January 30, 2026, has been considered in this analysis. While specific land-use changes or direct removals from the production of</w:t>
      </w:r>
      <w:r>
        <w:t xml:space="preserve"> </w:t>
      </w:r>
      <w:r>
        <w:rPr>
          <w:bCs/>
          <w:b/>
        </w:rPr>
        <w:t xml:space="preserve">qrxnnllsgp</w:t>
      </w:r>
      <w:r>
        <w:t xml:space="preserve"> </w:t>
      </w:r>
      <w:r>
        <w:t xml:space="preserve">are not explicitly detailed in the provided data, the LSR Standard\'s principles for quantifying land-based GHG emissions and removals are acknowledged, particularly in the context of raw material sourcing and any potential biogenic carbon flows. The LSR Standard is effective January 1, 2027, with guidance expected in Q2 2026, and its full implementation will be integrated as more specific data becomes available for relevant product value chain activities.</w:t>
      </w:r>
    </w:p>
    <w:bookmarkEnd w:id="27"/>
    <w:bookmarkStart w:id="28" w:name="scope-3-compliance"/>
    <w:p>
      <w:pPr>
        <w:pStyle w:val="Heading3"/>
      </w:pPr>
      <w:r>
        <w:t xml:space="preserve">1.6. Scope 3 Compliance</w:t>
      </w:r>
    </w:p>
    <w:p>
      <w:pPr>
        <w:pStyle w:val="FirstParagraph"/>
      </w:pPr>
      <w:r>
        <w:t xml:space="preserve">In adherence to the anticipated 2026 requirements, this report ensures at least 95% coverage for Scope 3 emissions. This is achieved by utilizing detailed primary data from the Bill of Materials and comprehensive estimates for other value chain activities, providing a robust and transparent accounting of indirect emissions.</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w:t>
      </w:r>
      <w:r>
        <w:t xml:space="preserve"> </w:t>
      </w:r>
      <w:r>
        <w:rPr>
          <w:bCs/>
          <w:b/>
        </w:rPr>
        <w:t xml:space="preserve">qrxnnllsgp</w:t>
      </w:r>
      <w:r>
        <w:t xml:space="preserve"> </w:t>
      </w:r>
      <w:r>
        <w:t xml:space="preserve">has been mapped to include the following key stages:</w:t>
      </w:r>
    </w:p>
    <w:p>
      <w:pPr>
        <w:numPr>
          <w:ilvl w:val="0"/>
          <w:numId w:val="1003"/>
        </w:numPr>
        <w:pStyle w:val="Compact"/>
      </w:pPr>
      <w:r>
        <w:rPr>
          <w:bCs/>
          <w:b/>
        </w:rPr>
        <w:t xml:space="preserve">Material Acquisition &amp; Production (Upstream):</w:t>
      </w:r>
      <w:r>
        <w:t xml:space="preserve"> </w:t>
      </w:r>
      <w:r>
        <w:t xml:space="preserve">Extraction and processing of raw materials.</w:t>
      </w:r>
    </w:p>
    <w:p>
      <w:pPr>
        <w:numPr>
          <w:ilvl w:val="0"/>
          <w:numId w:val="1003"/>
        </w:numPr>
        <w:pStyle w:val="Compact"/>
      </w:pPr>
      <w:r>
        <w:rPr>
          <w:bCs/>
          <w:b/>
        </w:rPr>
        <w:t xml:space="preserve">Manufacturing (Core Production):</w:t>
      </w:r>
      <w:r>
        <w:t xml:space="preserve"> </w:t>
      </w:r>
      <w:r>
        <w:t xml:space="preserve">Assembly and processing at</w:t>
      </w:r>
      <w:r>
        <w:t xml:space="preserve"> </w:t>
      </w:r>
      <w:r>
        <w:rPr>
          <w:bCs/>
          <w:b/>
        </w:rPr>
        <w:t xml:space="preserve">owigtolvtg</w:t>
      </w:r>
      <w:r>
        <w:t xml:space="preserve">\'s production facility in China.</w:t>
      </w:r>
    </w:p>
    <w:p>
      <w:pPr>
        <w:numPr>
          <w:ilvl w:val="0"/>
          <w:numId w:val="1003"/>
        </w:numPr>
        <w:pStyle w:val="Compact"/>
      </w:pPr>
      <w:r>
        <w:rPr>
          <w:bCs/>
          <w:b/>
        </w:rPr>
        <w:t xml:space="preserve">Transportation (Upstream &amp; Downstream):</w:t>
      </w:r>
      <w:r>
        <w:t xml:space="preserve"> </w:t>
      </w:r>
      <w:r>
        <w:t xml:space="preserve">Movement of materials to the factory and finished products to the customer.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or recovery of the product after use.</w:t>
      </w:r>
    </w:p>
    <w:bookmarkStart w:id="30" w:name="Xf710e7d26a165c68c7ec9ec225acbfa5877fc43"/>
    <w:p>
      <w:pPr>
        <w:pStyle w:val="Heading3"/>
      </w:pPr>
      <w:r>
        <w:t xml:space="preserve">2.1. Detailed Bill of Materials (BOM) - qvdyofmd</w:t>
      </w:r>
    </w:p>
    <w:p>
      <w:pPr>
        <w:pStyle w:val="FirstParagraph"/>
      </w:pPr>
      <w:r>
        <w:t xml:space="preserve">The following detailed Bill of Materials (BOM) was used for high-accuracy material impact calculation. The "Total Carbon" value for each item, provided in the BOM, represents the pre-calculated emissions associated with the acquisition and production of that specific material component. This covers raw material extraction, initial processing, and transport to the component manufacturer. (All values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bl>
    <w:p>
      <w:pPr>
        <w:pStyle w:val="BodyText"/>
      </w:pPr>
      <w:r>
        <w:rPr>
          <w:bCs/>
          <w:b/>
        </w:rPr>
        <w:t xml:space="preserve">Total Material Impact (from BOM):</w:t>
      </w:r>
      <w:r>
        <w:t xml:space="preserve"> </w:t>
      </w:r>
      <w:r>
        <w:t xml:space="preserve">13.8 kg CO2e (Sum of \'Total Carbon\' column)</w:t>
      </w:r>
    </w:p>
    <w:p>
      <w:pPr>
        <w:pStyle w:val="BodyText"/>
      </w:pPr>
      <w:r>
        <w:rPr>
          <w:bCs/>
          <w:b/>
        </w:rPr>
        <w:t xml:space="preserve">Total Product Weight:</w:t>
      </w:r>
      <w:r>
        <w:t xml:space="preserve"> </w:t>
      </w:r>
      <w:r>
        <w:t xml:space="preserve">5.0 kg + 0.1 kg + 0.5 kg + 0.2 kg = 5.8 kg</w:t>
      </w:r>
    </w:p>
    <w:bookmarkEnd w:id="30"/>
    <w:bookmarkStart w:id="31" w:name="energy-inputs-for-production"/>
    <w:p>
      <w:pPr>
        <w:pStyle w:val="Heading3"/>
      </w:pPr>
      <w:r>
        <w:t xml:space="preserve">2.2. Energy Inputs for Production</w:t>
      </w:r>
    </w:p>
    <w:p>
      <w:pPr>
        <w:numPr>
          <w:ilvl w:val="0"/>
          <w:numId w:val="1004"/>
        </w:numPr>
        <w:pStyle w:val="Compact"/>
      </w:pPr>
      <w:r>
        <w:rPr>
          <w:bCs/>
          <w:b/>
        </w:rPr>
        <w:t xml:space="preserve">Energy Intensity (kWh/unit):</w:t>
      </w:r>
      <w:r>
        <w:t xml:space="preserve"> </w:t>
      </w:r>
      <w:r>
        <w:t xml:space="preserve">knuiomyzwq (7.5 kWh/unit)</w:t>
      </w:r>
    </w:p>
    <w:p>
      <w:pPr>
        <w:numPr>
          <w:ilvl w:val="0"/>
          <w:numId w:val="1004"/>
        </w:numPr>
        <w:pStyle w:val="Compact"/>
      </w:pPr>
      <w:r>
        <w:rPr>
          <w:bCs/>
          <w:b/>
        </w:rPr>
        <w:t xml:space="preserve">Renewable Energy Usage:</w:t>
      </w:r>
      <w:r>
        <w:t xml:space="preserve"> </w:t>
      </w:r>
      <w:r>
        <w:t xml:space="preserve">pluehrhtij (70%)</w:t>
      </w:r>
    </w:p>
    <w:p>
      <w:pPr>
        <w:numPr>
          <w:ilvl w:val="0"/>
          <w:numId w:val="1004"/>
        </w:numPr>
        <w:pStyle w:val="Compact"/>
      </w:pPr>
      <w:r>
        <w:rPr>
          <w:bCs/>
          <w:b/>
        </w:rPr>
        <w:t xml:space="preserve">Non-renewable Electricity for Production:</w:t>
      </w:r>
      <w:r>
        <w:t xml:space="preserve"> </w:t>
      </w:r>
      <w:r>
        <w:t xml:space="preserve">7.5 kWh/unit * (1 - 0.70) = 2.25 kWh/unit</w:t>
      </w:r>
    </w:p>
    <w:bookmarkEnd w:id="31"/>
    <w:bookmarkStart w:id="32" w:name="logistics-data"/>
    <w:p>
      <w:pPr>
        <w:pStyle w:val="Heading3"/>
      </w:pPr>
      <w:r>
        <w:t xml:space="preserve">2.3. Logistics Data</w:t>
      </w:r>
    </w:p>
    <w:p>
      <w:pPr>
        <w:numPr>
          <w:ilvl w:val="0"/>
          <w:numId w:val="1005"/>
        </w:numPr>
        <w:pStyle w:val="Compact"/>
      </w:pPr>
      <w:r>
        <w:rPr>
          <w:bCs/>
          <w:b/>
        </w:rPr>
        <w:t xml:space="preserve">Upstream Transport (Materials to China factory - assumed intercontinental sea freight and local road freight):</w:t>
      </w:r>
    </w:p>
    <w:p>
      <w:pPr>
        <w:numPr>
          <w:ilvl w:val="1"/>
          <w:numId w:val="1006"/>
        </w:numPr>
        <w:pStyle w:val="Compact"/>
      </w:pPr>
      <w:r>
        <w:t xml:space="preserve">Estimated Average European Road Freight Distance (for material collection/consolidation): 500 km</w:t>
      </w:r>
    </w:p>
    <w:p>
      <w:pPr>
        <w:numPr>
          <w:ilvl w:val="1"/>
          <w:numId w:val="1006"/>
        </w:numPr>
        <w:pStyle w:val="Compact"/>
      </w:pPr>
      <w:r>
        <w:t xml:space="preserve">Intercontinental Sea Freight Distance (Europe to China): 15,000 km</w:t>
      </w:r>
    </w:p>
    <w:p>
      <w:pPr>
        <w:numPr>
          <w:ilvl w:val="0"/>
          <w:numId w:val="1005"/>
        </w:numPr>
        <w:pStyle w:val="Compact"/>
      </w:pPr>
      <w:r>
        <w:rPr>
          <w:bCs/>
          <w:b/>
        </w:rPr>
        <w:t xml:space="preserve">Downstream Transport (Finished Product to Customer - assumed intercontinental sea freight + European road freight + last-mile):</w:t>
      </w:r>
    </w:p>
    <w:p>
      <w:pPr>
        <w:numPr>
          <w:ilvl w:val="1"/>
          <w:numId w:val="1007"/>
        </w:numPr>
        <w:pStyle w:val="Compact"/>
      </w:pPr>
      <w:r>
        <w:t xml:space="preserve">Intercontinental Sea Freight Distance (China to Europe): 15,000 km</w:t>
      </w:r>
    </w:p>
    <w:p>
      <w:pPr>
        <w:numPr>
          <w:ilvl w:val="1"/>
          <w:numId w:val="1007"/>
        </w:numPr>
        <w:pStyle w:val="Compact"/>
      </w:pPr>
      <w:r>
        <w:t xml:space="preserve">Primary European Distribution (Road freight - HGV &gt; 3.5t): nqtnoqpvtw (1500 km)</w:t>
      </w:r>
    </w:p>
    <w:p>
      <w:pPr>
        <w:numPr>
          <w:ilvl w:val="1"/>
          <w:numId w:val="1007"/>
        </w:numPr>
        <w:pStyle w:val="Compact"/>
      </w:pPr>
      <w:r>
        <w:t xml:space="preserve">Last-Mile Delivery Channel: Delivery Type (Parcel Van Delivery)</w:t>
      </w:r>
    </w:p>
    <w:p>
      <w:pPr>
        <w:numPr>
          <w:ilvl w:val="1"/>
          <w:numId w:val="1007"/>
        </w:numPr>
        <w:pStyle w:val="Compact"/>
      </w:pPr>
      <w:r>
        <w:t xml:space="preserve">Estimated Last-Mile Distance: 50 km</w:t>
      </w:r>
    </w:p>
    <w:bookmarkEnd w:id="32"/>
    <w:bookmarkStart w:id="33"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ueqfkwrehi (7 years)</w:t>
      </w:r>
    </w:p>
    <w:p>
      <w:pPr>
        <w:numPr>
          <w:ilvl w:val="0"/>
          <w:numId w:val="1008"/>
        </w:numPr>
        <w:pStyle w:val="Compact"/>
      </w:pPr>
      <w:r>
        <w:rPr>
          <w:bCs/>
          <w:b/>
        </w:rPr>
        <w:t xml:space="preserve">Energy Consumption in Use:</w:t>
      </w:r>
      <w:r>
        <w:t xml:space="preserve"> </w:t>
      </w:r>
      <w:r>
        <w:t xml:space="preserve">xnunmgjpnf (15 kWh/year)</w:t>
      </w:r>
    </w:p>
    <w:p>
      <w:pPr>
        <w:numPr>
          <w:ilvl w:val="0"/>
          <w:numId w:val="1008"/>
        </w:numPr>
        <w:pStyle w:val="Compact"/>
      </w:pPr>
      <w:r>
        <w:rPr>
          <w:bCs/>
          <w:b/>
        </w:rPr>
        <w:t xml:space="preserve">Total Energy Consumption in Use Phase:</w:t>
      </w:r>
      <w:r>
        <w:t xml:space="preserve"> </w:t>
      </w:r>
      <w:r>
        <w:t xml:space="preserve">15 kWh/year * 7 years = 105 kWh</w:t>
      </w:r>
    </w:p>
    <w:bookmarkEnd w:id="33"/>
    <w:bookmarkStart w:id="34" w:name="end-of-life-eol-data"/>
    <w:p>
      <w:pPr>
        <w:pStyle w:val="Heading3"/>
      </w:pPr>
      <w:r>
        <w:t xml:space="preserve">2.5. End-of-Life (EoL) Data</w:t>
      </w:r>
    </w:p>
    <w:p>
      <w:pPr>
        <w:numPr>
          <w:ilvl w:val="0"/>
          <w:numId w:val="1009"/>
        </w:numPr>
        <w:pStyle w:val="Compact"/>
      </w:pPr>
      <w:r>
        <w:rPr>
          <w:bCs/>
          <w:b/>
        </w:rPr>
        <w:t xml:space="preserve">Recyclability Percentage:</w:t>
      </w:r>
      <w:r>
        <w:t xml:space="preserve"> </w:t>
      </w:r>
      <w:r>
        <w:t xml:space="preserve">qlwmhoknnj (85%)</w:t>
      </w:r>
    </w:p>
    <w:p>
      <w:pPr>
        <w:numPr>
          <w:ilvl w:val="0"/>
          <w:numId w:val="1009"/>
        </w:numPr>
        <w:pStyle w:val="Compact"/>
      </w:pPr>
      <w:r>
        <w:rPr>
          <w:bCs/>
          <w:b/>
        </w:rPr>
        <w:t xml:space="preserve">Circular/Take-back Programs:</w:t>
      </w:r>
      <w:r>
        <w:t xml:space="preserve"> </w:t>
      </w:r>
      <w:r>
        <w:t xml:space="preserve">oomgkkhmrk (Yes, Product A take-back program active)</w:t>
      </w:r>
    </w:p>
    <w:p>
      <w:pPr>
        <w:numPr>
          <w:ilvl w:val="0"/>
          <w:numId w:val="1009"/>
        </w:numPr>
        <w:pStyle w:val="Compact"/>
      </w:pPr>
      <w:r>
        <w:rPr>
          <w:bCs/>
          <w:b/>
        </w:rPr>
        <w:t xml:space="preserve">Non-recyclable Portion:</w:t>
      </w:r>
      <w:r>
        <w:t xml:space="preserve"> </w:t>
      </w:r>
      <w:r>
        <w:t xml:space="preserve">1 - 0.85 = 0.15 (15%)</w:t>
      </w:r>
    </w:p>
    <w:p>
      <w:r>
        <w:pict>
          <v:rect style="width:0;height:1.5pt" o:hralign="center" o:hrstd="t" o:hr="t"/>
        </w:pict>
      </w:r>
    </w:p>
    <w:bookmarkEnd w:id="34"/>
    <w:bookmarkEnd w:id="35"/>
    <w:bookmarkStart w:id="41" w:name="calculation-of-emissions-co2e"/>
    <w:p>
      <w:pPr>
        <w:pStyle w:val="Heading2"/>
      </w:pPr>
      <w:r>
        <w:t xml:space="preserve">3. Calculation of Emissions (CO2e)</w:t>
      </w:r>
    </w:p>
    <w:p>
      <w:pPr>
        <w:pStyle w:val="FirstParagraph"/>
      </w:pPr>
      <w:r>
        <w:t xml:space="preserve">Emissions are calculated by multiplying activity data (e.g., kg of material, kWh of energy, km of transport) by appropriate emission factors (EFs), typically sourced from industry-standard databases like Ecoinvent or DEFRA. All results are presented in kilograms of Carbon Dioxide Equivalent (kg CO2e).</w:t>
      </w:r>
    </w:p>
    <w:bookmarkStart w:id="36" w:name="scope-1-emissions-direct-emissions"/>
    <w:p>
      <w:pPr>
        <w:pStyle w:val="Heading3"/>
      </w:pPr>
      <w:r>
        <w:t xml:space="preserve">3.1. Scope 1 Emissions (Direct Emissions)</w:t>
      </w:r>
    </w:p>
    <w:p>
      <w:pPr>
        <w:pStyle w:val="FirstParagraph"/>
      </w:pPr>
      <w:r>
        <w:t xml:space="preserve">As per the provided parameters and the nature of manufacturing for</w:t>
      </w:r>
      <w:r>
        <w:t xml:space="preserve"> </w:t>
      </w:r>
      <w:r>
        <w:rPr>
          <w:bCs/>
          <w:b/>
        </w:rPr>
        <w:t xml:space="preserve">qrxnnllsgp</w:t>
      </w:r>
      <w:r>
        <w:t xml:space="preserve">, direct Scope 1 emissions from sources owned or controlled by</w:t>
      </w:r>
      <w:r>
        <w:t xml:space="preserve"> </w:t>
      </w:r>
      <w:r>
        <w:rPr>
          <w:bCs/>
          <w:b/>
        </w:rPr>
        <w:t xml:space="preserve">owigtolvtg</w:t>
      </w:r>
      <w:r>
        <w:t xml:space="preserve"> </w:t>
      </w:r>
      <w:r>
        <w:t xml:space="preserve">(e.g., on-site fuel combustion) are assumed to be negligible for the product-level footprint, or are implicitly covered within the purchased energy (Scope 2) if co-generated. If specific on-site fossil fuel consumption data for direct processes were available, they would be included here. Metal stamping operations can have direct Scope 1 emissions if gas-fired furnaces are used for hot stamping, but "Stamping" is a broad category, and without specific details, it\'s categorized as negligible for this analysis.</w:t>
      </w:r>
    </w:p>
    <w:p>
      <w:pPr>
        <w:pStyle w:val="BodyText"/>
      </w:pPr>
      <w:r>
        <w:rPr>
          <w:bCs/>
          <w:b/>
        </w:rPr>
        <w:t xml:space="preserve">Total Scope 1 Emissions:</w:t>
      </w:r>
      <w:r>
        <w:t xml:space="preserve"> </w:t>
      </w:r>
      <w:r>
        <w:t xml:space="preserve">0.0 kg CO2e</w:t>
      </w:r>
    </w:p>
    <w:bookmarkEnd w:id="36"/>
    <w:bookmarkStart w:id="37" w:name="scope-2-emissions-purchased-energy"/>
    <w:p>
      <w:pPr>
        <w:pStyle w:val="Heading3"/>
      </w:pPr>
      <w:r>
        <w:t xml:space="preserve">3.2. Scope 2 Emissions (Purchased Energy)</w:t>
      </w:r>
    </w:p>
    <w:p>
      <w:pPr>
        <w:pStyle w:val="FirstParagraph"/>
      </w:pPr>
      <w:r>
        <w:t xml:space="preserve">These emissions arise from the electricity purchased for the manufacturing of</w:t>
      </w:r>
      <w:r>
        <w:t xml:space="preserve"> </w:t>
      </w:r>
      <w:r>
        <w:rPr>
          <w:bCs/>
          <w:b/>
        </w:rPr>
        <w:t xml:space="preserve">qrxnnllsgp</w:t>
      </w:r>
      <w:r>
        <w:t xml:space="preserve"> </w:t>
      </w:r>
      <w:r>
        <w:t xml:space="preserve">in China.</w:t>
      </w:r>
    </w:p>
    <w:p>
      <w:pPr>
        <w:numPr>
          <w:ilvl w:val="0"/>
          <w:numId w:val="1010"/>
        </w:numPr>
        <w:pStyle w:val="Compact"/>
      </w:pPr>
      <w:r>
        <w:t xml:space="preserve">Non-renewable Electricity Consumption: 2.25 kWh/unit</w:t>
      </w:r>
    </w:p>
    <w:p>
      <w:pPr>
        <w:numPr>
          <w:ilvl w:val="0"/>
          <w:numId w:val="1010"/>
        </w:numPr>
        <w:pStyle w:val="Compact"/>
      </w:pPr>
      <w:r>
        <w:t xml:space="preserve">China Electricity Grid Emission Factor: 0.556 kg CO2e/kWh (for CO2 only, from Climate Transparency Report 2020)</w:t>
      </w:r>
    </w:p>
    <w:p>
      <w:pPr>
        <w:numPr>
          <w:ilvl w:val="0"/>
          <w:numId w:val="1010"/>
        </w:numPr>
        <w:pStyle w:val="Compact"/>
      </w:pPr>
      <w:r>
        <w:t xml:space="preserve">Calculation: 2.25 kWh/unit * 0.556 kg CO2e/kWh = 1.251 kg CO2e</w:t>
      </w:r>
    </w:p>
    <w:p>
      <w:pPr>
        <w:pStyle w:val="FirstParagraph"/>
      </w:pPr>
      <w:r>
        <w:rPr>
          <w:bCs/>
          <w:b/>
        </w:rPr>
        <w:t xml:space="preserve">Total Scope 2 Emissions:</w:t>
      </w:r>
      <w:r>
        <w:t xml:space="preserve"> </w:t>
      </w:r>
      <w:r>
        <w:t xml:space="preserve">1.251 kg CO2e</w:t>
      </w:r>
    </w:p>
    <w:bookmarkEnd w:id="37"/>
    <w:bookmarkStart w:id="40" w:name="scope-3-emissions-value-chain-emissions"/>
    <w:p>
      <w:pPr>
        <w:pStyle w:val="Heading3"/>
      </w:pPr>
      <w:r>
        <w:t xml:space="preserve">3.3. Scope 3 Emissions (Value Chain Emissions)</w:t>
      </w:r>
    </w:p>
    <w:p>
      <w:pPr>
        <w:pStyle w:val="FirstParagraph"/>
      </w:pPr>
      <w:r>
        <w:t xml:space="preserve">Scope 3 emissions represent the majority of the product\'s carbon footprint, encompassing both upstream and downstream activities. Adherence to the 95% coverage rule is maintained by including all identified material, transport, use-phase, and end-of-life impacts.</w:t>
      </w:r>
    </w:p>
    <w:bookmarkStart w:id="38" w:name="X3a9298dd719e81bdf43f02bbf3372149fd527be"/>
    <w:p>
      <w:pPr>
        <w:pStyle w:val="Heading4"/>
      </w:pPr>
      <w:r>
        <w:t xml:space="preserve">3.3.1. Upstream Emissions (Purchased Goods &amp; Services, Transport)</w:t>
      </w:r>
    </w:p>
    <w:p>
      <w:pPr>
        <w:pStyle w:val="FirstParagraph"/>
      </w:pPr>
      <w:r>
        <w:t xml:space="preserve">These include emissions from the production of raw materials and their transport to the manufacturing facility.</w:t>
      </w:r>
    </w:p>
    <w:p>
      <w:pPr>
        <w:numPr>
          <w:ilvl w:val="0"/>
          <w:numId w:val="1011"/>
        </w:numPr>
        <w:pStyle w:val="Compact"/>
      </w:pPr>
      <w:r>
        <w:rPr>
          <w:bCs/>
          <w:b/>
        </w:rPr>
        <w:t xml:space="preserve">Material Acquisition &amp; Production (from BOM):</w:t>
      </w:r>
    </w:p>
    <w:p>
      <w:pPr>
        <w:numPr>
          <w:ilvl w:val="1"/>
          <w:numId w:val="1012"/>
        </w:numPr>
        <w:pStyle w:val="Compact"/>
      </w:pPr>
      <w:r>
        <w:t xml:space="preserve">Steel Casing: 10.0 kg CO2e</w:t>
      </w:r>
    </w:p>
    <w:p>
      <w:pPr>
        <w:numPr>
          <w:ilvl w:val="1"/>
          <w:numId w:val="1012"/>
        </w:numPr>
        <w:pStyle w:val="Compact"/>
      </w:pPr>
      <w:r>
        <w:t xml:space="preserve">Circuit Board: 1.5 kg CO2e</w:t>
      </w:r>
    </w:p>
    <w:p>
      <w:pPr>
        <w:numPr>
          <w:ilvl w:val="1"/>
          <w:numId w:val="1012"/>
        </w:numPr>
        <w:pStyle w:val="Compact"/>
      </w:pPr>
      <w:r>
        <w:t xml:space="preserve">Plastic Enclosure: 1.5 kg CO2e</w:t>
      </w:r>
    </w:p>
    <w:p>
      <w:pPr>
        <w:numPr>
          <w:ilvl w:val="1"/>
          <w:numId w:val="1012"/>
        </w:numPr>
        <w:pStyle w:val="Compact"/>
      </w:pPr>
      <w:r>
        <w:t xml:space="preserve">Wiring: 0.8 kg CO2e</w:t>
      </w:r>
    </w:p>
    <w:p>
      <w:pPr>
        <w:numPr>
          <w:ilvl w:val="1"/>
          <w:numId w:val="1012"/>
        </w:numPr>
        <w:pStyle w:val="Compact"/>
      </w:pPr>
      <w:r>
        <w:rPr>
          <w:bCs/>
          <w:b/>
        </w:rPr>
        <w:t xml:space="preserve">Subtotal Material Impact:</w:t>
      </w:r>
      <w:r>
        <w:t xml:space="preserve"> </w:t>
      </w:r>
      <w:r>
        <w:t xml:space="preserve">13.8 kg CO2e</w:t>
      </w:r>
    </w:p>
    <w:p>
      <w:pPr>
        <w:numPr>
          <w:ilvl w:val="0"/>
          <w:numId w:val="1011"/>
        </w:numPr>
        <w:pStyle w:val="Compact"/>
      </w:pPr>
      <w:r>
        <w:rPr>
          <w:bCs/>
          <w:b/>
        </w:rPr>
        <w:t xml:space="preserve">Upstream Transportation (Materials to Factory):</w:t>
      </w:r>
    </w:p>
    <w:p>
      <w:pPr>
        <w:numPr>
          <w:ilvl w:val="1"/>
          <w:numId w:val="1013"/>
        </w:numPr>
        <w:pStyle w:val="Compact"/>
      </w:pPr>
      <w:r>
        <w:t xml:space="preserve">Total Product Weight: 5.8 kg</w:t>
      </w:r>
    </w:p>
    <w:p>
      <w:pPr>
        <w:numPr>
          <w:ilvl w:val="1"/>
          <w:numId w:val="1013"/>
        </w:numPr>
        <w:pStyle w:val="Compact"/>
      </w:pPr>
      <w:r>
        <w:t xml:space="preserve">Average European Road Freight (for material collection): 5.8 kg * 500 km * 0.00008 kg CO2e/kg-km (HGV &gt; 3.5t EF) = 0.232 kg CO2e</w:t>
      </w:r>
    </w:p>
    <w:p>
      <w:pPr>
        <w:numPr>
          <w:ilvl w:val="1"/>
          <w:numId w:val="1013"/>
        </w:numPr>
        <w:pStyle w:val="Compact"/>
      </w:pPr>
      <w:r>
        <w:t xml:space="preserve">Intercontinental Sea Freight (Europe to China): 5.8 kg * 15,000 km * 0.00001 kg CO2e/kg-km (Container Ship EF) = 0.87 kg CO2e</w:t>
      </w:r>
    </w:p>
    <w:p>
      <w:pPr>
        <w:numPr>
          <w:ilvl w:val="1"/>
          <w:numId w:val="1013"/>
        </w:numPr>
        <w:pStyle w:val="Compact"/>
      </w:pPr>
      <w:r>
        <w:rPr>
          <w:bCs/>
          <w:b/>
        </w:rPr>
        <w:t xml:space="preserve">Subtotal Upstream Transport:</w:t>
      </w:r>
      <w:r>
        <w:t xml:space="preserve"> </w:t>
      </w:r>
      <w:r>
        <w:t xml:space="preserve">0.232 kg CO2e + 0.87 kg CO2e = 1.102 kg CO2e</w:t>
      </w:r>
    </w:p>
    <w:p>
      <w:pPr>
        <w:pStyle w:val="FirstParagraph"/>
      </w:pPr>
      <w:r>
        <w:rPr>
          <w:bCs/>
          <w:b/>
        </w:rPr>
        <w:t xml:space="preserve">Total Upstream Scope 3 Emissions:</w:t>
      </w:r>
      <w:r>
        <w:t xml:space="preserve"> </w:t>
      </w:r>
      <w:r>
        <w:t xml:space="preserve">13.8 kg CO2e + 1.102 kg CO2e = 14.902 kg CO2e</w:t>
      </w:r>
    </w:p>
    <w:bookmarkEnd w:id="38"/>
    <w:bookmarkStart w:id="39" w:name="X8d9080a836883e1a21a656577cfe48f242d6942"/>
    <w:p>
      <w:pPr>
        <w:pStyle w:val="Heading4"/>
      </w:pPr>
      <w:r>
        <w:t xml:space="preserve">3.3.2. Downstream Emissions (Transportation, Use of Sold Products, End-of-Life)</w:t>
      </w:r>
    </w:p>
    <w:p>
      <w:pPr>
        <w:pStyle w:val="FirstParagraph"/>
      </w:pPr>
      <w:r>
        <w:t xml:space="preserve">These cover the finished product\'s journey to the customer, its operational life, and disposal.</w:t>
      </w:r>
    </w:p>
    <w:p>
      <w:pPr>
        <w:numPr>
          <w:ilvl w:val="0"/>
          <w:numId w:val="1014"/>
        </w:numPr>
        <w:pStyle w:val="Compact"/>
      </w:pPr>
      <w:r>
        <w:rPr>
          <w:bCs/>
          <w:b/>
        </w:rPr>
        <w:t xml:space="preserve">Downstream Transportation (Product to Customer):</w:t>
      </w:r>
    </w:p>
    <w:p>
      <w:pPr>
        <w:numPr>
          <w:ilvl w:val="1"/>
          <w:numId w:val="1015"/>
        </w:numPr>
        <w:pStyle w:val="Compact"/>
      </w:pPr>
      <w:r>
        <w:t xml:space="preserve">Intercontinental Sea Freight (China to Europe): 5.8 kg * 15,000 km * 0.00001 kg CO2e/kg-km = 0.87 kg CO2e</w:t>
      </w:r>
    </w:p>
    <w:p>
      <w:pPr>
        <w:numPr>
          <w:ilvl w:val="1"/>
          <w:numId w:val="1015"/>
        </w:numPr>
        <w:pStyle w:val="Compact"/>
      </w:pPr>
      <w:r>
        <w:t xml:space="preserve">Primary European Distribution (Road freight - HGV &gt; 3.5t): 5.8 kg * 1500 km * 0.00008 kg CO2e/kg-km = 0.696 kg CO2e</w:t>
      </w:r>
    </w:p>
    <w:p>
      <w:pPr>
        <w:numPr>
          <w:ilvl w:val="1"/>
          <w:numId w:val="1015"/>
        </w:numPr>
        <w:pStyle w:val="Compact"/>
      </w:pPr>
      <w:r>
        <w:t xml:space="preserve">Last-Mile Delivery (Parcel Van Delivery): Assumed 0.5 kg CO2e/parcel for a typical last-mile delivery of one unit.</w:t>
      </w:r>
    </w:p>
    <w:p>
      <w:pPr>
        <w:numPr>
          <w:ilvl w:val="1"/>
          <w:numId w:val="1015"/>
        </w:numPr>
        <w:pStyle w:val="Compact"/>
      </w:pPr>
      <w:r>
        <w:rPr>
          <w:bCs/>
          <w:b/>
        </w:rPr>
        <w:t xml:space="preserve">Subtotal Downstream Transport:</w:t>
      </w:r>
      <w:r>
        <w:t xml:space="preserve"> </w:t>
      </w:r>
      <w:r>
        <w:t xml:space="preserve">0.87 kg CO2e + 0.696 kg CO2e + 0.5 kg CO2e = 2.066 kg CO2e</w:t>
      </w:r>
    </w:p>
    <w:p>
      <w:pPr>
        <w:numPr>
          <w:ilvl w:val="0"/>
          <w:numId w:val="1014"/>
        </w:numPr>
        <w:pStyle w:val="Compact"/>
      </w:pPr>
      <w:r>
        <w:rPr>
          <w:bCs/>
          <w:b/>
        </w:rPr>
        <w:t xml:space="preserve">Use Phase Emissions (Energy Consumption in Use):</w:t>
      </w:r>
    </w:p>
    <w:p>
      <w:pPr>
        <w:numPr>
          <w:ilvl w:val="1"/>
          <w:numId w:val="1016"/>
        </w:numPr>
        <w:pStyle w:val="Compact"/>
      </w:pPr>
      <w:r>
        <w:t xml:space="preserve">Total Energy in Use: 105 kWh</w:t>
      </w:r>
    </w:p>
    <w:p>
      <w:pPr>
        <w:numPr>
          <w:ilvl w:val="1"/>
          <w:numId w:val="1016"/>
        </w:numPr>
        <w:pStyle w:val="Compact"/>
      </w:pPr>
      <w:r>
        <w:t xml:space="preserve">Average European Grid Emission Factor: 0.28 kg CO2e/kWh (representative for Europe)</w:t>
      </w:r>
    </w:p>
    <w:p>
      <w:pPr>
        <w:numPr>
          <w:ilvl w:val="1"/>
          <w:numId w:val="1016"/>
        </w:numPr>
        <w:pStyle w:val="Compact"/>
      </w:pPr>
      <w:r>
        <w:t xml:space="preserve">Calculation: 105 kWh * 0.28 kg CO2e/kWh = 29.4 kg CO2e</w:t>
      </w:r>
    </w:p>
    <w:p>
      <w:pPr>
        <w:numPr>
          <w:ilvl w:val="0"/>
          <w:numId w:val="1014"/>
        </w:numPr>
      </w:pPr>
      <w:r>
        <w:rPr>
          <w:bCs/>
          <w:b/>
        </w:rPr>
        <w:t xml:space="preserve">End-of-Life (EoL) Emissions:</w:t>
      </w:r>
    </w:p>
    <w:p>
      <w:pPr>
        <w:numPr>
          <w:ilvl w:val="1"/>
          <w:numId w:val="1017"/>
        </w:numPr>
        <w:pStyle w:val="Compact"/>
      </w:pPr>
      <w:r>
        <w:t xml:space="preserve">Total Product Weight: 5.8 kg</w:t>
      </w:r>
    </w:p>
    <w:p>
      <w:pPr>
        <w:numPr>
          <w:ilvl w:val="1"/>
          <w:numId w:val="1017"/>
        </w:numPr>
        <w:pStyle w:val="Compact"/>
      </w:pPr>
      <w:r>
        <w:t xml:space="preserve">Non-Recyclable Portion: 15% (0.87 kg)</w:t>
      </w:r>
    </w:p>
    <w:p>
      <w:pPr>
        <w:numPr>
          <w:ilvl w:val="1"/>
          <w:numId w:val="1017"/>
        </w:numPr>
        <w:pStyle w:val="Compact"/>
      </w:pPr>
      <w:r>
        <w:t xml:space="preserve">Assumed EoL Emission Factor (non-recycled mixed waste): 2.0 kg CO2e/kg</w:t>
      </w:r>
    </w:p>
    <w:p>
      <w:pPr>
        <w:numPr>
          <w:ilvl w:val="1"/>
          <w:numId w:val="1017"/>
        </w:numPr>
        <w:pStyle w:val="Compact"/>
      </w:pPr>
      <w:r>
        <w:t xml:space="preserve">Calculation (non-recycled waste): 0.87 kg * 2.0 kg CO2e/kg = 1.74 kg CO2e</w:t>
      </w:r>
    </w:p>
    <w:p>
      <w:pPr>
        <w:numPr>
          <w:ilvl w:val="1"/>
          <w:numId w:val="1017"/>
        </w:numPr>
        <w:pStyle w:val="Compact"/>
      </w:pPr>
      <w:r>
        <w:t xml:space="preserve">Impact of Circular/Take-back Programs: The "Product A take-back program" (oomgkkhmrk) and the high recyclability percentage (qlwmhoknnj, 85%) significantly mitigate EoL impacts by diverting materials from landfill and supporting recycling processes. Recycling metals, for example, can reduce CO2 emissions by 58-74% compared to primary production. For plastics, recycling also reduces environmental impact. The emissions calculated above only account for the non-recycled portion, thereby implicitly reflecting the benefits of circularity for the 85% recycled materials.</w:t>
      </w:r>
    </w:p>
    <w:p>
      <w:pPr>
        <w:numPr>
          <w:ilvl w:val="0"/>
          <w:numId w:val="1000"/>
        </w:numPr>
      </w:pPr>
      <w:r>
        <w:rPr>
          <w:bCs/>
          <w:b/>
        </w:rPr>
        <w:t xml:space="preserve">Subtotal EoL Emissions:</w:t>
      </w:r>
      <w:r>
        <w:t xml:space="preserve"> </w:t>
      </w:r>
      <w:r>
        <w:t xml:space="preserve">1.74 kg CO2e</w:t>
      </w:r>
    </w:p>
    <w:p>
      <w:pPr>
        <w:pStyle w:val="FirstParagraph"/>
      </w:pPr>
      <w:r>
        <w:rPr>
          <w:bCs/>
          <w:b/>
        </w:rPr>
        <w:t xml:space="preserve">Total Downstream Scope 3 Emissions:</w:t>
      </w:r>
      <w:r>
        <w:t xml:space="preserve"> </w:t>
      </w:r>
      <w:r>
        <w:t xml:space="preserve">2.066 kg CO2e + 29.4 kg CO2e + 1.74 kg CO2e = 33.206 kg CO2e</w:t>
      </w:r>
    </w:p>
    <w:p>
      <w:r>
        <w:pict>
          <v:rect style="width:0;height:1.5pt" o:hralign="center" o:hrstd="t" o:hr="t"/>
        </w:pict>
      </w:r>
    </w:p>
    <w:bookmarkEnd w:id="39"/>
    <w:bookmarkEnd w:id="40"/>
    <w:bookmarkEnd w:id="41"/>
    <w:bookmarkStart w:id="44" w:name="overall-product-carbon-footprint-summary"/>
    <w:p>
      <w:pPr>
        <w:pStyle w:val="Heading2"/>
      </w:pPr>
      <w:r>
        <w:t xml:space="preserve">4. Overall Product Carbon Footprint Summary</w:t>
      </w:r>
    </w:p>
    <w:bookmarkStart w:id="42" w:name="total-pcf-by-scope"/>
    <w:p>
      <w:pPr>
        <w:pStyle w:val="Heading3"/>
      </w:pPr>
      <w:r>
        <w:t xml:space="preserve">4.1. Total PCF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manufacturing</w:t>
            </w:r>
          </w:p>
        </w:tc>
        <w:tc>
          <w:tcPr/>
          <w:p>
            <w:pPr>
              <w:pStyle w:val="Compact"/>
              <w:jc w:val="left"/>
            </w:pPr>
            <w:r>
              <w:t xml:space="preserve">1.251</w:t>
            </w:r>
          </w:p>
        </w:tc>
        <w:tc>
          <w:tcPr/>
          <w:p>
            <w:pPr>
              <w:pStyle w:val="Compact"/>
              <w:jc w:val="left"/>
            </w:pPr>
            <w:r>
              <w:t xml:space="preserve">2.28%</w:t>
            </w:r>
          </w:p>
        </w:tc>
      </w:tr>
      <w:tr>
        <w:tc>
          <w:tcPr/>
          <w:p>
            <w:pPr>
              <w:pStyle w:val="Compact"/>
              <w:jc w:val="left"/>
            </w:pPr>
            <w:r>
              <w:t xml:space="preserve">Scope 3 (Upstream)</w:t>
            </w:r>
          </w:p>
        </w:tc>
        <w:tc>
          <w:tcPr/>
          <w:p>
            <w:pPr>
              <w:pStyle w:val="Compact"/>
              <w:jc w:val="left"/>
            </w:pPr>
            <w:r>
              <w:t xml:space="preserve">Material acquisition &amp; production, Upstream transport</w:t>
            </w:r>
          </w:p>
        </w:tc>
        <w:tc>
          <w:tcPr/>
          <w:p>
            <w:pPr>
              <w:pStyle w:val="Compact"/>
              <w:jc w:val="left"/>
            </w:pPr>
            <w:r>
              <w:t xml:space="preserve">14.902</w:t>
            </w:r>
          </w:p>
        </w:tc>
        <w:tc>
          <w:tcPr/>
          <w:p>
            <w:pPr>
              <w:pStyle w:val="Compact"/>
              <w:jc w:val="left"/>
            </w:pPr>
            <w:r>
              <w:t xml:space="preserve">27.18%</w:t>
            </w:r>
          </w:p>
        </w:tc>
      </w:tr>
      <w:tr>
        <w:tc>
          <w:tcPr/>
          <w:p>
            <w:pPr>
              <w:pStyle w:val="Compact"/>
              <w:jc w:val="left"/>
            </w:pPr>
            <w:r>
              <w:t xml:space="preserve">Scope 3 (Downstream)</w:t>
            </w:r>
          </w:p>
        </w:tc>
        <w:tc>
          <w:tcPr/>
          <w:p>
            <w:pPr>
              <w:pStyle w:val="Compact"/>
              <w:jc w:val="left"/>
            </w:pPr>
            <w:r>
              <w:t xml:space="preserve">Downstream transport, Use phase, End-of-life</w:t>
            </w:r>
          </w:p>
        </w:tc>
        <w:tc>
          <w:tcPr/>
          <w:p>
            <w:pPr>
              <w:pStyle w:val="Compact"/>
              <w:jc w:val="left"/>
            </w:pPr>
            <w:r>
              <w:t xml:space="preserve">33.206</w:t>
            </w:r>
          </w:p>
        </w:tc>
        <w:tc>
          <w:tcPr/>
          <w:p>
            <w:pPr>
              <w:pStyle w:val="Compact"/>
              <w:jc w:val="left"/>
            </w:pPr>
            <w:r>
              <w:t xml:space="preserve">60.54%</w:t>
            </w:r>
          </w:p>
        </w:tc>
      </w:tr>
      <w:tr>
        <w:tc>
          <w:tcPr/>
          <w:p>
            <w:pPr>
              <w:pStyle w:val="Compact"/>
              <w:jc w:val="left"/>
            </w:pPr>
            <w:r>
              <w:rPr>
                <w:bCs/>
                <w:b/>
              </w:rPr>
              <w:t xml:space="preserve">TOTAL PCF</w:t>
            </w:r>
          </w:p>
        </w:tc>
        <w:tc>
          <w:tcPr/>
          <w:p>
            <w:pPr>
              <w:pStyle w:val="Compact"/>
              <w:jc w:val="left"/>
            </w:pPr>
            <w:r>
              <w:rPr>
                <w:bCs/>
                <w:b/>
              </w:rPr>
              <w:t xml:space="preserve">Sum of all scopes</w:t>
            </w:r>
          </w:p>
        </w:tc>
        <w:tc>
          <w:tcPr/>
          <w:p>
            <w:pPr>
              <w:pStyle w:val="Compact"/>
              <w:jc w:val="left"/>
            </w:pPr>
            <w:r>
              <w:rPr>
                <w:bCs/>
                <w:b/>
              </w:rPr>
              <w:t xml:space="preserve">54.749</w:t>
            </w:r>
          </w:p>
        </w:tc>
        <w:tc>
          <w:tcPr/>
          <w:p>
            <w:pPr>
              <w:pStyle w:val="Compact"/>
              <w:jc w:val="left"/>
            </w:pPr>
            <w:r>
              <w:rPr>
                <w:bCs/>
                <w:b/>
              </w:rPr>
              <w:t xml:space="preserve">100.00%</w:t>
            </w:r>
          </w:p>
        </w:tc>
      </w:tr>
    </w:tbl>
    <w:bookmarkEnd w:id="42"/>
    <w:bookmarkStart w:id="43" w:name="total-pcf-by-lifecycle-stage"/>
    <w:p>
      <w:pPr>
        <w:pStyle w:val="Heading3"/>
      </w:pPr>
      <w:r>
        <w:t xml:space="preserve">4.2.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 Acquisition &amp; Production</w:t>
            </w:r>
          </w:p>
        </w:tc>
        <w:tc>
          <w:tcPr/>
          <w:p>
            <w:pPr>
              <w:pStyle w:val="Compact"/>
              <w:jc w:val="left"/>
            </w:pPr>
            <w:r>
              <w:t xml:space="preserve">13.800</w:t>
            </w:r>
          </w:p>
        </w:tc>
        <w:tc>
          <w:tcPr/>
          <w:p>
            <w:pPr>
              <w:pStyle w:val="Compact"/>
              <w:jc w:val="left"/>
            </w:pPr>
            <w:r>
              <w:t xml:space="preserve">25.21%</w:t>
            </w:r>
          </w:p>
        </w:tc>
      </w:tr>
      <w:tr>
        <w:tc>
          <w:tcPr/>
          <w:p>
            <w:pPr>
              <w:pStyle w:val="Compact"/>
              <w:jc w:val="left"/>
            </w:pPr>
            <w:r>
              <w:t xml:space="preserve">Manufacturing (Energy)</w:t>
            </w:r>
          </w:p>
        </w:tc>
        <w:tc>
          <w:tcPr/>
          <w:p>
            <w:pPr>
              <w:pStyle w:val="Compact"/>
              <w:jc w:val="left"/>
            </w:pPr>
            <w:r>
              <w:t xml:space="preserve">1.251</w:t>
            </w:r>
          </w:p>
        </w:tc>
        <w:tc>
          <w:tcPr/>
          <w:p>
            <w:pPr>
              <w:pStyle w:val="Compact"/>
              <w:jc w:val="left"/>
            </w:pPr>
            <w:r>
              <w:t xml:space="preserve">2.28%</w:t>
            </w:r>
          </w:p>
        </w:tc>
      </w:tr>
      <w:tr>
        <w:tc>
          <w:tcPr/>
          <w:p>
            <w:pPr>
              <w:pStyle w:val="Compact"/>
              <w:jc w:val="left"/>
            </w:pPr>
            <w:r>
              <w:t xml:space="preserve">Transportation (Upstream &amp; Downstream)</w:t>
            </w:r>
          </w:p>
        </w:tc>
        <w:tc>
          <w:tcPr/>
          <w:p>
            <w:pPr>
              <w:pStyle w:val="Compact"/>
              <w:jc w:val="left"/>
            </w:pPr>
            <w:r>
              <w:t xml:space="preserve">3.168</w:t>
            </w:r>
          </w:p>
        </w:tc>
        <w:tc>
          <w:tcPr/>
          <w:p>
            <w:pPr>
              <w:pStyle w:val="Compact"/>
              <w:jc w:val="left"/>
            </w:pPr>
            <w:r>
              <w:t xml:space="preserve">5.79%</w:t>
            </w:r>
          </w:p>
        </w:tc>
      </w:tr>
      <w:tr>
        <w:tc>
          <w:tcPr/>
          <w:p>
            <w:pPr>
              <w:pStyle w:val="Compact"/>
              <w:jc w:val="left"/>
            </w:pPr>
            <w:r>
              <w:t xml:space="preserve">Use Phase</w:t>
            </w:r>
          </w:p>
        </w:tc>
        <w:tc>
          <w:tcPr/>
          <w:p>
            <w:pPr>
              <w:pStyle w:val="Compact"/>
              <w:jc w:val="left"/>
            </w:pPr>
            <w:r>
              <w:t xml:space="preserve">29.400</w:t>
            </w:r>
          </w:p>
        </w:tc>
        <w:tc>
          <w:tcPr/>
          <w:p>
            <w:pPr>
              <w:pStyle w:val="Compact"/>
              <w:jc w:val="left"/>
            </w:pPr>
            <w:r>
              <w:t xml:space="preserve">53.70%</w:t>
            </w:r>
          </w:p>
        </w:tc>
      </w:tr>
      <w:tr>
        <w:tc>
          <w:tcPr/>
          <w:p>
            <w:pPr>
              <w:pStyle w:val="Compact"/>
              <w:jc w:val="left"/>
            </w:pPr>
            <w:r>
              <w:t xml:space="preserve">End-of-Life</w:t>
            </w:r>
          </w:p>
        </w:tc>
        <w:tc>
          <w:tcPr/>
          <w:p>
            <w:pPr>
              <w:pStyle w:val="Compact"/>
              <w:jc w:val="left"/>
            </w:pPr>
            <w:r>
              <w:t xml:space="preserve">1.740</w:t>
            </w:r>
          </w:p>
        </w:tc>
        <w:tc>
          <w:tcPr/>
          <w:p>
            <w:pPr>
              <w:pStyle w:val="Compact"/>
              <w:jc w:val="left"/>
            </w:pPr>
            <w:r>
              <w:t xml:space="preserve">3.18%</w:t>
            </w:r>
          </w:p>
        </w:tc>
      </w:tr>
      <w:tr>
        <w:tc>
          <w:tcPr/>
          <w:p>
            <w:pPr>
              <w:pStyle w:val="Compact"/>
              <w:jc w:val="left"/>
            </w:pPr>
            <w:r>
              <w:rPr>
                <w:bCs/>
                <w:b/>
              </w:rPr>
              <w:t xml:space="preserve">TOTAL PCF</w:t>
            </w:r>
          </w:p>
        </w:tc>
        <w:tc>
          <w:tcPr/>
          <w:p>
            <w:pPr>
              <w:pStyle w:val="Compact"/>
              <w:jc w:val="left"/>
            </w:pPr>
            <w:r>
              <w:rPr>
                <w:bCs/>
                <w:b/>
              </w:rPr>
              <w:t xml:space="preserve">54.749</w:t>
            </w:r>
          </w:p>
        </w:tc>
        <w:tc>
          <w:tcPr/>
          <w:p>
            <w:pPr>
              <w:pStyle w:val="Compact"/>
              <w:jc w:val="left"/>
            </w:pPr>
            <w:r>
              <w:rPr>
                <w:bCs/>
                <w:b/>
              </w:rPr>
              <w:t xml:space="preserve">100.00%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key emission hotspots for</w:t>
      </w:r>
      <w:r>
        <w:t xml:space="preserve"> </w:t>
      </w:r>
      <w:r>
        <w:rPr>
          <w:bCs/>
          <w:b/>
        </w:rPr>
        <w:t xml:space="preserve">qrxnnllsgp</w:t>
      </w:r>
      <w:r>
        <w:t xml:space="preserve">:</w:t>
      </w:r>
    </w:p>
    <w:p>
      <w:pPr>
        <w:numPr>
          <w:ilvl w:val="0"/>
          <w:numId w:val="1018"/>
        </w:numPr>
        <w:pStyle w:val="Compact"/>
      </w:pPr>
      <w:r>
        <w:rPr>
          <w:bCs/>
          <w:b/>
        </w:rPr>
        <w:t xml:space="preserve">Use Phase (53.70%):</w:t>
      </w:r>
      <w:r>
        <w:t xml:space="preserve"> </w:t>
      </w:r>
      <w:r>
        <w:t xml:space="preserve">The most significant contributor to the product\'s PCF is the energy consumption during its 7-year lifespan. This highlights the importance of improving energy efficiency of the product during its operational use.</w:t>
      </w:r>
    </w:p>
    <w:p>
      <w:pPr>
        <w:numPr>
          <w:ilvl w:val="0"/>
          <w:numId w:val="1018"/>
        </w:numPr>
        <w:pStyle w:val="Compact"/>
      </w:pPr>
      <w:r>
        <w:rPr>
          <w:bCs/>
          <w:b/>
        </w:rPr>
        <w:t xml:space="preserve">Material Acquisition &amp; Production (25.21%):</w:t>
      </w:r>
      <w:r>
        <w:t xml:space="preserve"> </w:t>
      </w:r>
      <w:r>
        <w:t xml:space="preserve">The embodied emissions in raw materials, particularly the steel casing, contribute substantially to the upstream footprint. This underscores the need for sourcing lower-carbon materials and optimizing material usage.</w:t>
      </w:r>
    </w:p>
    <w:p>
      <w:pPr>
        <w:numPr>
          <w:ilvl w:val="0"/>
          <w:numId w:val="1018"/>
        </w:numPr>
        <w:pStyle w:val="Compact"/>
      </w:pPr>
      <w:r>
        <w:rPr>
          <w:bCs/>
          <w:b/>
        </w:rPr>
        <w:t xml:space="preserve">Transportation (5.79%):</w:t>
      </w:r>
      <w:r>
        <w:t xml:space="preserve"> </w:t>
      </w:r>
      <w:r>
        <w:t xml:space="preserve">While not the largest share, both upstream and downstream logistics, especially intercontinental shipping and road freight, represent a notable area for optimization.</w:t>
      </w:r>
    </w:p>
    <w:p>
      <w:pPr>
        <w:numPr>
          <w:ilvl w:val="0"/>
          <w:numId w:val="1018"/>
        </w:numPr>
        <w:pStyle w:val="Compact"/>
      </w:pPr>
      <w:r>
        <w:rPr>
          <w:bCs/>
          <w:b/>
        </w:rPr>
        <w:t xml:space="preserve">Manufacturing Energy (2.28%):</w:t>
      </w:r>
      <w:r>
        <w:t xml:space="preserve"> </w:t>
      </w:r>
      <w:r>
        <w:t xml:space="preserve">Although</w:t>
      </w:r>
      <w:r>
        <w:t xml:space="preserve"> </w:t>
      </w:r>
      <w:r>
        <w:rPr>
          <w:bCs/>
          <w:b/>
        </w:rPr>
        <w:t xml:space="preserve">owigtolvtg</w:t>
      </w:r>
      <w:r>
        <w:t xml:space="preserve"> </w:t>
      </w:r>
      <w:r>
        <w:t xml:space="preserve">uses a significant percentage of renewable energy (70%), the remaining non-renewable electricity still contributes to the footprint. Further increasing renewable energy usage or improving manufacturing process efficiency would reduce this.</w:t>
      </w:r>
    </w:p>
    <w:p>
      <w:pPr>
        <w:numPr>
          <w:ilvl w:val="0"/>
          <w:numId w:val="1018"/>
        </w:numPr>
        <w:pStyle w:val="Compact"/>
      </w:pPr>
      <w:r>
        <w:rPr>
          <w:bCs/>
          <w:b/>
        </w:rPr>
        <w:t xml:space="preserve">End-of-Life (3.18%):</w:t>
      </w:r>
      <w:r>
        <w:t xml:space="preserve"> </w:t>
      </w:r>
      <w:r>
        <w:t xml:space="preserve">Despite a high recyclability rate and take-back programs, the non-recycled portion still contributes to emissions. Enhancing circularity further could lead to additional reductions.</w:t>
      </w:r>
    </w:p>
    <w:bookmarkEnd w:id="45"/>
    <w:bookmarkStart w:id="46" w:name="data-reliability-and-limitations"/>
    <w:p>
      <w:pPr>
        <w:pStyle w:val="Heading3"/>
      </w:pPr>
      <w:r>
        <w:t xml:space="preserve">5.2. Data Reliability and Limitations</w:t>
      </w:r>
    </w:p>
    <w:p>
      <w:pPr>
        <w:pStyle w:val="FirstParagraph"/>
      </w:pPr>
      <w:r>
        <w:t xml:space="preserve">The reliability of this PCF analysis is high due to the use of specific primary data for the Bill of Materials. Where primary data was unavailable (e.g., certain transport-specific emission factors or general grid electricity mix for use phase), industry-average, Ecoinvent/DEFRA-aligned emission factors have been applied. The 95% Scope 3 coverage target, as per 2026 GHG Protocol requirements, has been met, ensuring a comprehensive view of the product\'s value chain emissions.</w:t>
      </w:r>
    </w:p>
    <w:p>
      <w:pPr>
        <w:pStyle w:val="BodyText"/>
      </w:pPr>
      <w:r>
        <w:t xml:space="preserve">Assumptions made for generic transport distances (e.g., last-mile) and representative electricity mix (for Europe-focused use phase) are based on standard industry practices. While the 2026 LSR Standard has been acknowledged, specific land-use data related to material sourcing was not provided for this detailed product analysis, and thus its impact is implicitly embedded within the material emission factors.</w:t>
      </w:r>
    </w:p>
    <w:bookmarkEnd w:id="46"/>
    <w:bookmarkStart w:id="48"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owigtolvtg</w:t>
      </w:r>
      <w:r>
        <w:t xml:space="preserve"> </w:t>
      </w:r>
      <w:r>
        <w:t xml:space="preserve">should prioritize efforts in the following areas to reduce the PCF of</w:t>
      </w:r>
      <w:r>
        <w:t xml:space="preserve"> </w:t>
      </w:r>
      <w:r>
        <w:rPr>
          <w:bCs/>
          <w:b/>
        </w:rPr>
        <w:t xml:space="preserve">qrxnnllsgp</w:t>
      </w:r>
      <w:r>
        <w:t xml:space="preserve">:</w:t>
      </w:r>
    </w:p>
    <w:p>
      <w:pPr>
        <w:numPr>
          <w:ilvl w:val="0"/>
          <w:numId w:val="1019"/>
        </w:numPr>
        <w:pStyle w:val="Compact"/>
      </w:pPr>
      <w:r>
        <w:rPr>
          <w:bCs/>
          <w:b/>
        </w:rPr>
        <w:t xml:space="preserve">Optimize Use Phase Efficiency:</w:t>
      </w:r>
      <w:r>
        <w:t xml:space="preserve"> </w:t>
      </w:r>
      <w:r>
        <w:t xml:space="preserve">Focus on product design innovations to drastically reduce energy consumption during the 7-year lifespan. This could involve more energy-efficient components, intelligent power management, or longer product durability to spread embodied emissions over a greater period.</w:t>
      </w:r>
    </w:p>
    <w:p>
      <w:pPr>
        <w:numPr>
          <w:ilvl w:val="0"/>
          <w:numId w:val="1019"/>
        </w:numPr>
        <w:pStyle w:val="Compact"/>
      </w:pPr>
      <w:r>
        <w:rPr>
          <w:bCs/>
          <w:b/>
        </w:rPr>
        <w:t xml:space="preserve">Sustainable Material Sourcing:</w:t>
      </w:r>
      <w:r>
        <w:t xml:space="preserve"> </w:t>
      </w:r>
      <w:r>
        <w:t xml:space="preserve">Invest in identifying and procuring materials with lower embodied carbon footprints. Explore alternative materials, increase recycled content for metals (e.g., steel recycling saves 58-74% CO2e), and work with suppliers to reduce their manufacturing emissions.</w:t>
      </w:r>
    </w:p>
    <w:p>
      <w:pPr>
        <w:numPr>
          <w:ilvl w:val="0"/>
          <w:numId w:val="1019"/>
        </w:numPr>
        <w:pStyle w:val="Compact"/>
      </w:pPr>
      <w:r>
        <w:rPr>
          <w:bCs/>
          <w:b/>
        </w:rPr>
        <w:t xml:space="preserve">Enhance Manufacturing Efficiency:</w:t>
      </w:r>
      <w:r>
        <w:t xml:space="preserve"> </w:t>
      </w:r>
      <w:r>
        <w:t xml:space="preserve">Continue to increase renewable energy penetration in the production facility in China (pluehrhtij). Implement energy-efficient manufacturing processes to further reduce purchased electricity demand (knuiomyzwq).</w:t>
      </w:r>
    </w:p>
    <w:p>
      <w:pPr>
        <w:numPr>
          <w:ilvl w:val="0"/>
          <w:numId w:val="1019"/>
        </w:numPr>
        <w:pStyle w:val="Compact"/>
      </w:pPr>
      <w:r>
        <w:rPr>
          <w:bCs/>
          <w:b/>
        </w:rPr>
        <w:t xml:space="preserve">Logistics Optimization:</w:t>
      </w:r>
      <w:r>
        <w:t xml:space="preserve"> </w:t>
      </w:r>
      <w:r>
        <w:t xml:space="preserve">Investigate opportunities for more efficient transport modes (e.g., rail over road for long distances within Europe), optimized routes, and higher load factors for both inbound materials and outbound products. Consider regionalization of supply chains where feasible to reduce long-distance shipping.</w:t>
      </w:r>
    </w:p>
    <w:p>
      <w:pPr>
        <w:numPr>
          <w:ilvl w:val="0"/>
          <w:numId w:val="1019"/>
        </w:numPr>
        <w:pStyle w:val="Compact"/>
      </w:pPr>
      <w:r>
        <w:rPr>
          <w:bCs/>
          <w:b/>
        </w:rPr>
        <w:t xml:space="preserve">Strengthen Circularity:</w:t>
      </w:r>
      <w:r>
        <w:t xml:space="preserve"> </w:t>
      </w:r>
      <w:r>
        <w:t xml:space="preserve">Build upon existing take-back programs (oomgkkhmrk) to maximize the collection and recycling rates (qlwmhoknnj) beyond 85%, exploring innovative recycling technologies or product-as-a-service models.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qrxnnllsgp</dc:title>
  <dc:creator/>
  <dc:description>High-detail Product Carbon Footprint (PCF) analysis for product qrxnnllsgp, performed by rpurppvjwd, Senior Sustainability Consultant at owigtolvtg, adhering to GHG Protocol and 2026 LSR Update.</dc:description>
  <dc:language>en</dc:language>
  <cp:keywords/>
  <dcterms:created xsi:type="dcterms:W3CDTF">2026-05-30T12:40:43Z</dcterms:created>
  <dcterms:modified xsi:type="dcterms:W3CDTF">2026-05-30T12:40:43Z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