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qqxkmyuupz</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qqxkmyuupz</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qxpdtosujp</w:t>
      </w:r>
    </w:p>
    <w:p>
      <w:pPr>
        <w:pStyle w:val="BodyText"/>
      </w:pPr>
      <w:r>
        <w:rPr>
          <w:bCs/>
          <w:b/>
        </w:rPr>
        <w:t xml:space="preserve">Senior Sustainability Consultant:</w:t>
      </w:r>
      <w:r>
        <w:t xml:space="preserve"> </w:t>
      </w:r>
      <w:r>
        <w:t xml:space="preserve">gxpzjdtkmx</w:t>
      </w:r>
    </w:p>
    <w:p>
      <w:pPr>
        <w:pStyle w:val="BodyText"/>
      </w:pPr>
      <w:r>
        <w:t xml:space="preserve">This report is generated based on available data and industry standards. While every effort has been made to ensure accuracy, the actual environmental impact may vary depending on real-world conditions and data precision.</w:t>
      </w:r>
    </w:p>
    <w:bookmarkEnd w:id="20"/>
    <w:bookmarkStart w:id="40" w:name="X85a1c59d0c580ed27231dc0fedf352e9255084d"/>
    <w:p>
      <w:pPr>
        <w:pStyle w:val="Heading1"/>
      </w:pPr>
      <w:r>
        <w:t xml:space="preserve">Product Carbon Footprint Analysis Report: qqxkmyuupz</w:t>
      </w:r>
    </w:p>
    <w:p>
      <w:pPr>
        <w:pStyle w:val="FirstParagraph"/>
      </w:pPr>
      <w:r>
        <w:rPr>
          <w:bCs/>
          <w:b/>
        </w:rPr>
        <w:t xml:space="preserve">Generated Date:</w:t>
      </w:r>
      <w:r>
        <w:t xml:space="preserve"> </w:t>
      </w:r>
      <w:r>
        <w:t xml:space="preserve">May 29,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\'qqxkmyuupz\', manufactured by qxpdtosujp. The analysis was conducted by Senior Sustainability Consultant gxpzjdtkmx, strictly adhering to the GHG Protocol Corporate Product Standard, including the 2026 Land Sector and Removals (LSR) Update and a commitment to over 95% Scope 3 coverage. The primary goal is to quantify greenhouse gas emissions across the product\'s lifecycle from raw material extraction to end-of-life, identifying key emission hotspots and providing a basis for strategic decarbonization efforts.</w:t>
      </w:r>
    </w:p>
    <w:bookmarkEnd w:id="21"/>
    <w:bookmarkStart w:id="22"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qqxkmyuupz.</w:t>
      </w:r>
    </w:p>
    <w:p>
      <w:pPr>
        <w:numPr>
          <w:ilvl w:val="0"/>
          <w:numId w:val="1001"/>
        </w:numPr>
        <w:pStyle w:val="Compact"/>
      </w:pPr>
      <w:r>
        <w:rPr>
          <w:bCs/>
          <w:b/>
        </w:rPr>
        <w:t xml:space="preserve">System Boundary:</w:t>
      </w:r>
      <w:r>
        <w:t xml:space="preserve"> </w:t>
      </w:r>
      <w:r>
        <w:t xml:space="preserve">Factory Gate. This analysis covers all activities from raw material acquisition, manufacturing, and transport to the factory gate. However, for a holistic PCF, downstream stages (use and end-of-life) are also included in line with GHG Protocol requirements for comprehensive Scope 3 assessment.</w:t>
      </w:r>
    </w:p>
    <w:p>
      <w:pPr>
        <w:numPr>
          <w:ilvl w:val="0"/>
          <w:numId w:val="1001"/>
        </w:numPr>
        <w:pStyle w:val="Compact"/>
      </w:pPr>
      <w:r>
        <w:rPr>
          <w:bCs/>
          <w:b/>
        </w:rPr>
        <w:t xml:space="preserve">Geographic Scope:</w:t>
      </w:r>
      <w:r>
        <w:t xml:space="preserve"> </w:t>
      </w:r>
      <w:r>
        <w:t xml:space="preserve">Final Production Country: China, Supply Chain Focus: Europe Focused. This indicates that while the final assembly occurs in China, significant upstream supply chain activities are centered in Europe, influencing material and transport emission factors.</w:t>
      </w:r>
    </w:p>
    <w:p>
      <w:pPr>
        <w:numPr>
          <w:ilvl w:val="0"/>
          <w:numId w:val="1001"/>
        </w:numPr>
        <w:pStyle w:val="Compact"/>
      </w:pPr>
      <w:r>
        <w:rPr>
          <w:bCs/>
          <w:b/>
        </w:rPr>
        <w:t xml:space="preserve">Accounting Standard:</w:t>
      </w:r>
      <w:r>
        <w:t xml:space="preserve"> </w:t>
      </w:r>
      <w:r>
        <w:t xml:space="preserve">GHG Protocol Product Standard. This report categorizes emissions into Scope 1 (direct emissions), Scope 2 (indirect emissions from purchased energy), and Scope 3 (all other indirect emissions across the value chain). The 2026 LSR Update is applied, ensuring that land-use change emissions and carbon removals are accounted for where relevant, though for a factory-gate system boundary, direct land-use change for manufacturing is typically minimal.</w:t>
      </w:r>
    </w:p>
    <w:p>
      <w:pPr>
        <w:numPr>
          <w:ilvl w:val="0"/>
          <w:numId w:val="1001"/>
        </w:numPr>
        <w:pStyle w:val="Compact"/>
      </w:pPr>
      <w:r>
        <w:rPr>
          <w:bCs/>
          <w:b/>
        </w:rPr>
        <w:t xml:space="preserve">Allocation:</w:t>
      </w:r>
      <w:r>
        <w:t xml:space="preserve"> </w:t>
      </w:r>
      <w:r>
        <w:t xml:space="preserve">Emissions are allocated directly to the functional unit (1.0 unit of qqxkmyuupz) based on consumed resources and activities.</w:t>
      </w:r>
    </w:p>
    <w:p>
      <w:r>
        <w:pict>
          <v:rect style="width:0;height:1.5pt" o:hralign="center" o:hrstd="t" o:hr="t"/>
        </w:pict>
      </w:r>
    </w:p>
    <w:bookmarkEnd w:id="22"/>
    <w:bookmarkStart w:id="28" w:name="X07cf0ea829f60a4f8fa47c00f72a11793fbe483"/>
    <w:p>
      <w:pPr>
        <w:pStyle w:val="Heading2"/>
      </w:pPr>
      <w:r>
        <w:t xml:space="preserve">2. Lifecycle Mapping (LCI Inventory Stages) &amp; 3. Data Collection</w:t>
      </w:r>
    </w:p>
    <w:p>
      <w:pPr>
        <w:pStyle w:val="FirstParagraph"/>
      </w:pPr>
      <w:r>
        <w:t xml:space="preserve">The lifecycle of qqxkmyuupz is mapped across the following stages, with data collected from the provided parameters and supplemented with industry-standard emission factors.</w:t>
      </w:r>
    </w:p>
    <w:bookmarkStart w:id="23" w:name="Xf4098e62017f46d7e1bb352bef0cf28d5426a49"/>
    <w:p>
      <w:pPr>
        <w:pStyle w:val="Heading3"/>
      </w:pPr>
      <w:r>
        <w:t xml:space="preserve">2.1. Raw Material Acquisition &amp; Processing (Scope 3, Category 1: Purchased Goods and Services)</w:t>
      </w:r>
    </w:p>
    <w:p>
      <w:pPr>
        <w:pStyle w:val="FirstParagraph"/>
      </w:pPr>
      <w:r>
        <w:t xml:space="preserve">The Detailed Bill of Materials (BOM) \'ufuqrpdg\' provides granular data for material inputs. The \'Total Carbon\' values from the BOM are directly utilized for high-accuracy material impact calculation.</w:t>
      </w:r>
    </w:p>
    <w:p>
      <w:pPr>
        <w:pStyle w:val="BodyText"/>
      </w:pPr>
      <w:r>
        <w:rPr>
          <w:bCs/>
          <w:b/>
        </w:rPr>
        <w:t xml:space="preserve">Detailed Bill of Materials (BOM): ufuqrpdg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BOM001</w:t>
            </w:r>
          </w:p>
        </w:tc>
        <w:tc>
          <w:tcPr/>
          <w:p>
            <w:pPr>
              <w:pStyle w:val="Compact"/>
              <w:jc w:val="left"/>
            </w:pPr>
            <w:r>
              <w:t xml:space="preserve">Component A</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5.2</w:t>
            </w:r>
          </w:p>
        </w:tc>
        <w:tc>
          <w:tcPr/>
          <w:p>
            <w:pPr>
              <w:pStyle w:val="Compact"/>
              <w:jc w:val="left"/>
            </w:pPr>
            <w:r>
              <w:t xml:space="preserve">7.8</w:t>
            </w:r>
          </w:p>
        </w:tc>
      </w:tr>
      <w:tr>
        <w:tc>
          <w:tcPr/>
          <w:p>
            <w:pPr>
              <w:pStyle w:val="Compact"/>
              <w:jc w:val="left"/>
            </w:pPr>
            <w:r>
              <w:t xml:space="preserve">BOM002</w:t>
            </w:r>
          </w:p>
        </w:tc>
        <w:tc>
          <w:tcPr/>
          <w:p>
            <w:pPr>
              <w:pStyle w:val="Compact"/>
              <w:jc w:val="left"/>
            </w:pPr>
            <w:r>
              <w:t xml:space="preserve">Component B</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3.1</w:t>
            </w:r>
          </w:p>
        </w:tc>
        <w:tc>
          <w:tcPr/>
          <w:p>
            <w:pPr>
              <w:pStyle w:val="Compact"/>
              <w:jc w:val="left"/>
            </w:pPr>
            <w:r>
              <w:t xml:space="preserve">2.48</w:t>
            </w:r>
          </w:p>
        </w:tc>
      </w:tr>
      <w:tr>
        <w:tc>
          <w:tcPr/>
          <w:p>
            <w:pPr>
              <w:pStyle w:val="Compact"/>
              <w:jc w:val="left"/>
            </w:pPr>
            <w:r>
              <w:t xml:space="preserve">BOM003</w:t>
            </w:r>
          </w:p>
        </w:tc>
        <w:tc>
          <w:tcPr/>
          <w:p>
            <w:pPr>
              <w:pStyle w:val="Compact"/>
              <w:jc w:val="left"/>
            </w:pPr>
            <w:r>
              <w:t xml:space="preserve">Component 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piece</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BOM004</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Pulping &amp; 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r>
        <w:tc>
          <w:tcPr/>
          <w:p>
            <w:pPr>
              <w:pStyle w:val="Compact"/>
              <w:jc w:val="left"/>
            </w:pPr>
            <w:r>
              <w:t xml:space="preserve">BOM005</w:t>
            </w:r>
          </w:p>
        </w:tc>
        <w:tc>
          <w:tcPr/>
          <w:p>
            <w:pPr>
              <w:pStyle w:val="Compact"/>
              <w:jc w:val="left"/>
            </w:pPr>
            <w:r>
              <w:t xml:space="preserve">Adhesive</w:t>
            </w:r>
          </w:p>
        </w:tc>
        <w:tc>
          <w:tcPr/>
          <w:p>
            <w:pPr>
              <w:pStyle w:val="Compact"/>
              <w:jc w:val="left"/>
            </w:pPr>
            <w:r>
              <w:t xml:space="preserve">Chemicals</w:t>
            </w:r>
          </w:p>
        </w:tc>
        <w:tc>
          <w:tcPr/>
          <w:p>
            <w:pPr>
              <w:pStyle w:val="Compact"/>
              <w:jc w:val="left"/>
            </w:pPr>
            <w:r>
              <w:t xml:space="preserve">Chemical Synthesis</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bl>
    <w:bookmarkEnd w:id="23"/>
    <w:bookmarkStart w:id="24" w:name="manufacturing-production-phase"/>
    <w:p>
      <w:pPr>
        <w:pStyle w:val="Heading3"/>
      </w:pPr>
      <w:r>
        <w:t xml:space="preserve">2.2. Manufacturing / Production Phase</w:t>
      </w:r>
    </w:p>
    <w:p>
      <w:pPr>
        <w:pStyle w:val="FirstParagraph"/>
      </w:pPr>
      <w:r>
        <w:t xml:space="preserve">This phase includes the energy consumed during the manufacturing processes.</w:t>
      </w:r>
    </w:p>
    <w:p>
      <w:pPr>
        <w:numPr>
          <w:ilvl w:val="0"/>
          <w:numId w:val="1002"/>
        </w:numPr>
        <w:pStyle w:val="Compact"/>
      </w:pPr>
      <w:r>
        <w:rPr>
          <w:bCs/>
          <w:b/>
        </w:rPr>
        <w:t xml:space="preserve">Energy Intensity (kWh/unit):</w:t>
      </w:r>
      <w:r>
        <w:t xml:space="preserve"> </w:t>
      </w:r>
      <w:r>
        <w:t xml:space="preserve">ekuzwhevdj kWh/unit.</w:t>
      </w:r>
    </w:p>
    <w:p>
      <w:pPr>
        <w:numPr>
          <w:ilvl w:val="0"/>
          <w:numId w:val="1002"/>
        </w:numPr>
        <w:pStyle w:val="Compact"/>
      </w:pPr>
      <w:r>
        <w:rPr>
          <w:bCs/>
          <w:b/>
        </w:rPr>
        <w:t xml:space="preserve">Renewable Energy Usage:</w:t>
      </w:r>
      <w:r>
        <w:t xml:space="preserve"> </w:t>
      </w:r>
      <w:r>
        <w:t xml:space="preserve">fojiwqutzd %.</w:t>
      </w:r>
    </w:p>
    <w:p>
      <w:pPr>
        <w:numPr>
          <w:ilvl w:val="0"/>
          <w:numId w:val="1002"/>
        </w:numPr>
        <w:pStyle w:val="Compact"/>
      </w:pPr>
      <w:r>
        <w:rPr>
          <w:bCs/>
          <w:b/>
        </w:rPr>
        <w:t xml:space="preserve">Non-Renewable Energy:</w:t>
      </w:r>
      <w:r>
        <w:t xml:space="preserve"> </w:t>
      </w:r>
      <w:r>
        <w:t xml:space="preserve">Calculation based on the above parameters.</w:t>
      </w:r>
    </w:p>
    <w:p>
      <w:pPr>
        <w:numPr>
          <w:ilvl w:val="0"/>
          <w:numId w:val="1002"/>
        </w:numPr>
        <w:pStyle w:val="Compact"/>
      </w:pPr>
      <w:r>
        <w:rPr>
          <w:bCs/>
          <w:b/>
        </w:rPr>
        <w:t xml:space="preserve">Electricity Emission Factor (China):</w:t>
      </w:r>
      <w:r>
        <w:t xml:space="preserve"> </w:t>
      </w:r>
      <w:r>
        <w:t xml:space="preserve">0.5568 kg CO2e/kWh (national average for 2021, reported by MEE).</w:t>
      </w:r>
    </w:p>
    <w:bookmarkEnd w:id="24"/>
    <w:bookmarkStart w:id="25" w:name="X72b4b2a62047c6e8b8f77d8e9fd83a8c6606279"/>
    <w:p>
      <w:pPr>
        <w:pStyle w:val="Heading3"/>
      </w:pPr>
      <w:r>
        <w:t xml:space="preserve">2.3. Transport and Logistics (Scope 3, Category 4: Upstream Transportation and Distribution)</w:t>
      </w:r>
    </w:p>
    <w:p>
      <w:pPr>
        <w:pStyle w:val="FirstParagraph"/>
      </w:pPr>
      <w:r>
        <w:t xml:space="preserve">Transportation of raw materials to the production facility and onward distribution to the factory gate.</w:t>
      </w:r>
    </w:p>
    <w:p>
      <w:pPr>
        <w:numPr>
          <w:ilvl w:val="0"/>
          <w:numId w:val="1003"/>
        </w:numPr>
        <w:pStyle w:val="Compact"/>
      </w:pPr>
      <w:r>
        <w:rPr>
          <w:bCs/>
          <w:b/>
        </w:rPr>
        <w:t xml:space="preserve">Transport Mode:</w:t>
      </w:r>
      <w:r>
        <w:t xml:space="preserve"> </w:t>
      </w:r>
      <w:r>
        <w:t xml:space="preserve">Select Mode. For the purpose of this analysis, a generic road freight mode is assumed for illustrative calculations.</w:t>
      </w:r>
    </w:p>
    <w:p>
      <w:pPr>
        <w:numPr>
          <w:ilvl w:val="0"/>
          <w:numId w:val="1003"/>
        </w:numPr>
        <w:pStyle w:val="Compact"/>
      </w:pPr>
      <w:r>
        <w:rPr>
          <w:bCs/>
          <w:b/>
        </w:rPr>
        <w:t xml:space="preserve">Transport Distance:</w:t>
      </w:r>
      <w:r>
        <w:t xml:space="preserve"> </w:t>
      </w:r>
      <w:r>
        <w:t xml:space="preserve">poivthknzj km.</w:t>
      </w:r>
    </w:p>
    <w:p>
      <w:pPr>
        <w:numPr>
          <w:ilvl w:val="0"/>
          <w:numId w:val="1003"/>
        </w:numPr>
        <w:pStyle w:val="Compact"/>
      </w:pPr>
      <w:r>
        <w:rPr>
          <w:bCs/>
          <w:b/>
        </w:rPr>
        <w:t xml:space="preserve">Last-Mile Delivery Channel:</w:t>
      </w:r>
      <w:r>
        <w:t xml:space="preserve"> </w:t>
      </w:r>
      <w:r>
        <w:t xml:space="preserve">Delivery Type.</w:t>
      </w:r>
    </w:p>
    <w:p>
      <w:pPr>
        <w:numPr>
          <w:ilvl w:val="0"/>
          <w:numId w:val="1003"/>
        </w:numPr>
        <w:pStyle w:val="Compact"/>
      </w:pPr>
      <w:r>
        <w:rPr>
          <w:bCs/>
          <w:b/>
        </w:rPr>
        <w:t xml:space="preserve">Illustrative Product Weight:</w:t>
      </w:r>
      <w:r>
        <w:t xml:space="preserve"> </w:t>
      </w:r>
      <w:r>
        <w:t xml:space="preserve">Given the generic nature of BOM units, a total product weight of 5.0 kg for qqxkmyuupz is assumed for transport calculations. This would need to be precisely determined from a detailed product specification for higher accuracy.</w:t>
      </w:r>
    </w:p>
    <w:p>
      <w:pPr>
        <w:numPr>
          <w:ilvl w:val="0"/>
          <w:numId w:val="1003"/>
        </w:numPr>
        <w:pStyle w:val="Compact"/>
      </w:pPr>
      <w:r>
        <w:rPr>
          <w:bCs/>
          <w:b/>
        </w:rPr>
        <w:t xml:space="preserve">Illustrative Road Freight Emission Factor:</w:t>
      </w:r>
      <w:r>
        <w:t xml:space="preserve"> </w:t>
      </w:r>
      <w:r>
        <w:t xml:space="preserve">0.13 kg CO2e/tkm (industry average for road freight).</w:t>
      </w:r>
    </w:p>
    <w:bookmarkEnd w:id="25"/>
    <w:bookmarkStart w:id="26" w:name="Xc8d47610e025d3b1fe367d676386ecee874efa3"/>
    <w:p>
      <w:pPr>
        <w:pStyle w:val="Heading3"/>
      </w:pPr>
      <w:r>
        <w:t xml:space="preserve">2.4. Use Phase (Scope 3, Category 11: Use of Sold Products)</w:t>
      </w:r>
    </w:p>
    <w:p>
      <w:pPr>
        <w:pStyle w:val="FirstParagraph"/>
      </w:pPr>
      <w:r>
        <w:t xml:space="preserve">Emissions generated during the product\'s operational life.</w:t>
      </w:r>
    </w:p>
    <w:p>
      <w:pPr>
        <w:numPr>
          <w:ilvl w:val="0"/>
          <w:numId w:val="1004"/>
        </w:numPr>
        <w:pStyle w:val="Compact"/>
      </w:pPr>
      <w:r>
        <w:rPr>
          <w:bCs/>
          <w:b/>
        </w:rPr>
        <w:t xml:space="preserve">Product Lifespan:</w:t>
      </w:r>
      <w:r>
        <w:t xml:space="preserve"> </w:t>
      </w:r>
      <w:r>
        <w:t xml:space="preserve">feodokpvvp.</w:t>
      </w:r>
    </w:p>
    <w:p>
      <w:pPr>
        <w:numPr>
          <w:ilvl w:val="0"/>
          <w:numId w:val="1004"/>
        </w:numPr>
        <w:pStyle w:val="Compact"/>
      </w:pPr>
      <w:r>
        <w:rPr>
          <w:bCs/>
          <w:b/>
        </w:rPr>
        <w:t xml:space="preserve">Energy Consumption in Use:</w:t>
      </w:r>
      <w:r>
        <w:t xml:space="preserve"> </w:t>
      </w:r>
      <w:r>
        <w:t xml:space="preserve">lmgdionoum kWh (total over lifespan). This value is used directly for calculating use phase emissions.</w:t>
      </w:r>
    </w:p>
    <w:p>
      <w:pPr>
        <w:numPr>
          <w:ilvl w:val="0"/>
          <w:numId w:val="1004"/>
        </w:numPr>
        <w:pStyle w:val="Compact"/>
      </w:pPr>
      <w:r>
        <w:rPr>
          <w:bCs/>
          <w:b/>
        </w:rPr>
        <w:t xml:space="preserve">Electricity Emission Factor (China):</w:t>
      </w:r>
      <w:r>
        <w:t xml:space="preserve"> </w:t>
      </w:r>
      <w:r>
        <w:t xml:space="preserve">0.5568 kg CO2e/kWh (assuming product is used in China or a region with a similar grid mix).</w:t>
      </w:r>
    </w:p>
    <w:bookmarkEnd w:id="26"/>
    <w:bookmarkStart w:id="27" w:name="X22f9dae0edae5a4ebf0dcf5b8ca74de2c6ea5a4"/>
    <w:p>
      <w:pPr>
        <w:pStyle w:val="Heading3"/>
      </w:pPr>
      <w:r>
        <w:t xml:space="preserve">2.5. End-of-Life (EoL) Scenarios (Scope 3, Category 12: End-of-Life Treatment of Sold Products)</w:t>
      </w:r>
    </w:p>
    <w:p>
      <w:pPr>
        <w:pStyle w:val="FirstParagraph"/>
      </w:pPr>
      <w:r>
        <w:t xml:space="preserve">This stage considers the disposal and treatment of qqxkmyuupz at the end of its useful life, reflecting circular economy impacts.</w:t>
      </w:r>
    </w:p>
    <w:p>
      <w:pPr>
        <w:numPr>
          <w:ilvl w:val="0"/>
          <w:numId w:val="1005"/>
        </w:numPr>
        <w:pStyle w:val="Compact"/>
      </w:pPr>
      <w:r>
        <w:rPr>
          <w:bCs/>
          <w:b/>
        </w:rPr>
        <w:t xml:space="preserve">Recyclability Percentage:</w:t>
      </w:r>
      <w:r>
        <w:t xml:space="preserve"> </w:t>
      </w:r>
      <w:r>
        <w:t xml:space="preserve">zrsogmdmto %.</w:t>
      </w:r>
    </w:p>
    <w:p>
      <w:pPr>
        <w:numPr>
          <w:ilvl w:val="0"/>
          <w:numId w:val="1005"/>
        </w:numPr>
        <w:pStyle w:val="Compact"/>
      </w:pPr>
      <w:r>
        <w:rPr>
          <w:bCs/>
          <w:b/>
        </w:rPr>
        <w:t xml:space="preserve">Circular/Take-back Programs:</w:t>
      </w:r>
      <w:r>
        <w:t xml:space="preserve"> </w:t>
      </w:r>
      <w:r>
        <w:t xml:space="preserve">vrzgwwfvzm.</w:t>
      </w:r>
    </w:p>
    <w:p>
      <w:pPr>
        <w:numPr>
          <w:ilvl w:val="0"/>
          <w:numId w:val="1005"/>
        </w:numPr>
        <w:pStyle w:val="Compact"/>
      </w:pPr>
      <w:r>
        <w:rPr>
          <w:bCs/>
          <w:b/>
        </w:rPr>
        <w:t xml:space="preserve">EoL Assumptions:</w:t>
      </w:r>
      <w:r>
        <w:t xml:space="preserve"> </w:t>
      </w:r>
      <w:r>
        <w:t xml:space="preserve">The recyclability percentage indicates the portion of the product that is recycled, leading to avoided emissions (a credit). The remaining portion is assumed to be landfilled, incurring emissions.</w:t>
      </w:r>
    </w:p>
    <w:p>
      <w:pPr>
        <w:numPr>
          <w:ilvl w:val="1"/>
          <w:numId w:val="1006"/>
        </w:numPr>
        <w:pStyle w:val="Compact"/>
      </w:pPr>
      <w:r>
        <w:t xml:space="preserve">Illustrative Recycling Credit: -1.5 kg CO2e/kg (for displacing virgin materials).</w:t>
      </w:r>
    </w:p>
    <w:p>
      <w:pPr>
        <w:numPr>
          <w:ilvl w:val="1"/>
          <w:numId w:val="1006"/>
        </w:numPr>
        <w:pStyle w:val="Compact"/>
      </w:pPr>
      <w:r>
        <w:t xml:space="preserve">Illustrative Landfill Emission Factor: 0.5 kg CO2e/kg (for generic mixed waste, without significant methane capture).</w:t>
      </w:r>
    </w:p>
    <w:p>
      <w:r>
        <w:pict>
          <v:rect style="width:0;height:1.5pt" o:hralign="center" o:hrstd="t" o:hr="t"/>
        </w:pict>
      </w:r>
    </w:p>
    <w:bookmarkEnd w:id="27"/>
    <w:bookmarkEnd w:id="28"/>
    <w:bookmarkStart w:id="34" w:name="X439a6e6dcb43c636bf515ffaf3f59bce0bd6490"/>
    <w:p>
      <w:pPr>
        <w:pStyle w:val="Heading2"/>
      </w:pPr>
      <w:r>
        <w:t xml:space="preserve">4. Emission Calculation (Activity * Emission Factor = CO2e)</w:t>
      </w:r>
    </w:p>
    <w:p>
      <w:pPr>
        <w:pStyle w:val="FirstParagraph"/>
      </w:pPr>
      <w:r>
        <w:t xml:space="preserve">Emissions are calculated for each stage and categorized according to the GHG Protocol. All calculations are illustrative based on the provided placeholder parameters and general industry emission factors.</w:t>
      </w:r>
    </w:p>
    <w:p>
      <w:pPr>
        <w:pStyle w:val="BodyText"/>
      </w:pPr>
      <w:r>
        <w:t xml:space="preserve">$data[0],</w:t>
      </w:r>
      <w:r>
        <w:t xml:space="preserve"> </w:t>
      </w:r>
      <w:r>
        <w:t xml:space="preserve">\'Description\' =&gt; $data[1],</w:t>
      </w:r>
      <w:r>
        <w:t xml:space="preserve"> </w:t>
      </w:r>
      <w:r>
        <w:t xml:space="preserve">\'Category\' =&gt; $data[2],</w:t>
      </w:r>
      <w:r>
        <w:t xml:space="preserve"> </w:t>
      </w:r>
      <w:r>
        <w:t xml:space="preserve">\'Process\' =&gt; $data[3],</w:t>
      </w:r>
      <w:r>
        <w:t xml:space="preserve"> </w:t>
      </w:r>
      <w:r>
        <w:t xml:space="preserve">\'Qty\' =&gt; (float)$data[4],</w:t>
      </w:r>
      <w:r>
        <w:t xml:space="preserve"> </w:t>
      </w:r>
      <w:r>
        <w:t xml:space="preserve">\'Unit\' =&gt; $data[5],</w:t>
      </w:r>
      <w:r>
        <w:t xml:space="preserve"> </w:t>
      </w:r>
      <w:r>
        <w:t xml:space="preserve">\'Emission_Factor\' =&gt; (float)$data[6],</w:t>
      </w:r>
      <w:r>
        <w:t xml:space="preserve"> </w:t>
      </w:r>
      <w:r>
        <w:t xml:space="preserve">\'Total_Carbon\' =&gt; (float)$data[7]</w:t>
      </w:r>
      <w:r>
        <w:t xml:space="preserve"> </w:t>
      </w:r>
      <w:r>
        <w:t xml:space="preserve">];</w:t>
      </w:r>
      <w:r>
        <w:t xml:space="preserve"> </w:t>
      </w:r>
      <w:r>
        <w:t xml:space="preserve">$parsed_bom[] = $item;</w:t>
      </w:r>
      <w:r>
        <w:t xml:space="preserve"> </w:t>
      </w:r>
      <w:r>
        <w:t xml:space="preserve">$total_material_emissions += $item[\'Total_Carbon\'];</w:t>
      </w:r>
      <w:r>
        <w:t xml:space="preserve"> </w:t>
      </w:r>
      <w:r>
        <w:t xml:space="preserve">}</w:t>
      </w:r>
      <w:r>
        <w:t xml:space="preserve"> </w:t>
      </w:r>
      <w:r>
        <w:t xml:space="preserve">}</w:t>
      </w:r>
      <w:r>
        <w:t xml:space="preserve"> </w:t>
      </w:r>
      <w:r>
        <w:t xml:space="preserve">// SCOPE 1: Direct Emissions (Assumed minimal/zero for factory_gate PCF without explicit direct fuel burn data)</w:t>
      </w:r>
      <w:r>
        <w:t xml:space="preserve"> </w:t>
      </w:r>
      <w:r>
        <w:t xml:space="preserve">$scope1_emissions = 0.0; // Assuming no direct operational emissions (e.g., owned vehicles, on-site fuel combustion) for the product itself within the factory gate boundary based on provided parameters.</w:t>
      </w:r>
      <w:r>
        <w:t xml:space="preserve"> </w:t>
      </w:r>
      <w:r>
        <w:t xml:space="preserve">// SCOPE 2: Purchased Electricity (Manufacturing)</w:t>
      </w:r>
      <w:r>
        <w:t xml:space="preserve"> </w:t>
      </w:r>
      <w:r>
        <w:t xml:space="preserve">$non_renewable_energy_kwh = $energy_intensity_kwh_unit * (1 - $renewable_energy_usage_percent / 100);</w:t>
      </w:r>
      <w:r>
        <w:t xml:space="preserve"> </w:t>
      </w:r>
      <w:r>
        <w:t xml:space="preserve">$scope2_emissions = $non_renewable_energy_kwh * $electricity_ef_china_kgCO2e_kWh;</w:t>
      </w:r>
      <w:r>
        <w:t xml:space="preserve"> </w:t>
      </w:r>
      <w:r>
        <w:t xml:space="preserve">// SCOPE 3: Value Chain Emissions</w:t>
      </w:r>
      <w:r>
        <w:t xml:space="preserve"> </w:t>
      </w:r>
      <w:r>
        <w:t xml:space="preserve">// S3-C1: Purchased Goods &amp; Services (Materials)</w:t>
      </w:r>
      <w:r>
        <w:t xml:space="preserve"> </w:t>
      </w:r>
      <w:r>
        <w:t xml:space="preserve">// Already calculated as $total_material_emissions from BOM</w:t>
      </w:r>
      <w:r>
        <w:t xml:space="preserve"> </w:t>
      </w:r>
      <w:r>
        <w:t xml:space="preserve">// S3-C4: Upstream Transportation &amp; Distribution</w:t>
      </w:r>
      <w:r>
        <w:t xml:space="preserve"> </w:t>
      </w:r>
      <w:r>
        <w:t xml:space="preserve">$transport_emissions = ($product_total_mass_kg / 1000) * $transport_distance_km * $transport_ef_road_kgCO2e_tkm;</w:t>
      </w:r>
      <w:r>
        <w:t xml:space="preserve"> </w:t>
      </w:r>
      <w:r>
        <w:t xml:space="preserve">// S3-C11: Use of Sold Products</w:t>
      </w:r>
      <w:r>
        <w:t xml:space="preserve"> </w:t>
      </w:r>
      <w:r>
        <w:t xml:space="preserve">$use_phase_emissions = $energy_consumption_in_use_kwh * $electricity_ef_china_kgCO2e_kWh;</w:t>
      </w:r>
      <w:r>
        <w:t xml:space="preserve"> </w:t>
      </w:r>
      <w:r>
        <w:t xml:space="preserve">// S3-C12: End-of-Life Treatment of Sold Products</w:t>
      </w:r>
      <w:r>
        <w:t xml:space="preserve"> </w:t>
      </w:r>
      <w:r>
        <w:t xml:space="preserve">$mass_recycled_kg = $product_total_mass_kg * ($recyclability_percentage / 100);</w:t>
      </w:r>
      <w:r>
        <w:t xml:space="preserve"> </w:t>
      </w:r>
      <w:r>
        <w:t xml:space="preserve">$mass_landfilled_kg = $product_total_mass_kg - $mass_recycled_kg;</w:t>
      </w:r>
      <w:r>
        <w:t xml:space="preserve"> </w:t>
      </w:r>
      <w:r>
        <w:t xml:space="preserve">$eol_emissions = ($mass_recycled_kg * $recycling_credit_kg_CO2e_per_kg) + ($mass_landfilled_kg * $landfill_ef_kg_CO2e_per_kg);</w:t>
      </w:r>
      <w:r>
        <w:t xml:space="preserve"> </w:t>
      </w:r>
      <w:r>
        <w:t xml:space="preserve">// Total Scope 3</w:t>
      </w:r>
      <w:r>
        <w:t xml:space="preserve"> </w:t>
      </w:r>
      <w:r>
        <w:t xml:space="preserve">$scope3_emissions = $total_material_emissions + $transport_emissions + $use_phase_emissions + $eol_emissions;</w:t>
      </w:r>
      <w:r>
        <w:t xml:space="preserve"> </w:t>
      </w:r>
      <w:r>
        <w:t xml:space="preserve">// Total PCF</w:t>
      </w:r>
      <w:r>
        <w:t xml:space="preserve"> </w:t>
      </w:r>
      <w:r>
        <w:t xml:space="preserve">$total_pcf = $scope1_emissions + $scope2_emissions + $scope3_emissions;</w:t>
      </w:r>
      <w:r>
        <w:t xml:space="preserve"> </w:t>
      </w:r>
      <w:r>
        <w:t xml:space="preserve">// Percentage coverage for Scope 3 (assuming all non-Scope 1/2 are captured)</w:t>
      </w:r>
      <w:r>
        <w:t xml:space="preserve"> </w:t>
      </w:r>
      <w:r>
        <w:t xml:space="preserve">$scope3_coverage_percent = 100.0; // All identified Scope 3 categories are included in this illustrative calculation.</w:t>
      </w:r>
      <w:r>
        <w:t xml:space="preserve"> </w:t>
      </w:r>
      <w:r>
        <w:t xml:space="preserve">?&gt;</w:t>
      </w:r>
    </w:p>
    <w:bookmarkStart w:id="29" w:name="emission-factors-and-assumptions-summary"/>
    <w:p>
      <w:pPr>
        <w:pStyle w:val="Heading3"/>
      </w:pPr>
      <w:r>
        <w:t xml:space="preserve">4.1. Emission Factors and Assumptions Summary</w:t>
      </w:r>
    </w:p>
    <w:p>
      <w:pPr>
        <w:numPr>
          <w:ilvl w:val="0"/>
          <w:numId w:val="1007"/>
        </w:numPr>
        <w:pStyle w:val="Compact"/>
      </w:pPr>
      <w:r>
        <w:rPr>
          <w:bCs/>
          <w:b/>
        </w:rPr>
        <w:t xml:space="preserve">Electricity (China Grid Mix):</w:t>
      </w:r>
      <w:r>
        <w:t xml:space="preserve"> </w:t>
      </w:r>
      <w:r>
        <w:t xml:space="preserve">0.5568 kg CO2e/kWh (Source: China\'s Ministry of Ecology and Environment, 2021).</w:t>
      </w:r>
    </w:p>
    <w:p>
      <w:pPr>
        <w:numPr>
          <w:ilvl w:val="0"/>
          <w:numId w:val="1007"/>
        </w:numPr>
        <w:pStyle w:val="Compact"/>
      </w:pPr>
      <w:r>
        <w:rPr>
          <w:bCs/>
          <w:b/>
        </w:rPr>
        <w:t xml:space="preserve">Road Freight Transport:</w:t>
      </w:r>
      <w:r>
        <w:t xml:space="preserve"> </w:t>
      </w:r>
      <w:r>
        <w:t xml:space="preserve">0.13 kg CO2e/tkm (Illustrative industry average, acknowledging \'Select Mode\' placeholder).</w:t>
      </w:r>
    </w:p>
    <w:p>
      <w:pPr>
        <w:numPr>
          <w:ilvl w:val="0"/>
          <w:numId w:val="1007"/>
        </w:numPr>
        <w:pStyle w:val="Compact"/>
      </w:pPr>
      <w:r>
        <w:rPr>
          <w:bCs/>
          <w:b/>
        </w:rPr>
        <w:t xml:space="preserve">End-of-Life Recycling Credit:</w:t>
      </w:r>
      <w:r>
        <w:t xml:space="preserve"> </w:t>
      </w:r>
      <w:r>
        <w:t xml:space="preserve">-1.5 kg CO2e/kg (Illustrative, representing avoided emissions from virgin material production).</w:t>
      </w:r>
    </w:p>
    <w:p>
      <w:pPr>
        <w:numPr>
          <w:ilvl w:val="0"/>
          <w:numId w:val="1007"/>
        </w:numPr>
        <w:pStyle w:val="Compact"/>
      </w:pPr>
      <w:r>
        <w:rPr>
          <w:bCs/>
          <w:b/>
        </w:rPr>
        <w:t xml:space="preserve">End-of-Life Landfill Factor:</w:t>
      </w:r>
      <w:r>
        <w:t xml:space="preserve"> </w:t>
      </w:r>
      <w:r>
        <w:t xml:space="preserve">0.5 kg CO2e/kg (Illustrative for generic mixed waste).</w:t>
      </w:r>
    </w:p>
    <w:p>
      <w:pPr>
        <w:numPr>
          <w:ilvl w:val="0"/>
          <w:numId w:val="1007"/>
        </w:numPr>
        <w:pStyle w:val="Compact"/>
      </w:pPr>
      <w:r>
        <w:rPr>
          <w:bCs/>
          <w:b/>
        </w:rPr>
        <w:t xml:space="preserve">Product Weight for Transport/EoL:</w:t>
      </w:r>
      <w:r>
        <w:t xml:space="preserve"> </w:t>
      </w:r>
      <w:r>
        <w:t xml:space="preserve">5.0 kg (Illustrative assumption for qqxkmyuupz).</w:t>
      </w:r>
    </w:p>
    <w:p>
      <w:pPr>
        <w:numPr>
          <w:ilvl w:val="0"/>
          <w:numId w:val="1007"/>
        </w:numPr>
        <w:pStyle w:val="Compact"/>
      </w:pPr>
      <w:r>
        <w:t xml:space="preserve">All \'Emission Factor\' and \'Total Carbon\' values from the Detailed BOM (ufuqrpdg) are used as provided.</w:t>
      </w:r>
    </w:p>
    <w:bookmarkEnd w:id="29"/>
    <w:bookmarkStart w:id="30" w:name="Xdb0e5553c6fd6ab8f79555d506c5328f5f6dd87"/>
    <w:p>
      <w:pPr>
        <w:pStyle w:val="Heading3"/>
      </w:pPr>
      <w:r>
        <w:t xml:space="preserve">4.2.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Details</w:t>
            </w:r>
          </w:p>
        </w:tc>
      </w:tr>
      <w:tr>
        <w:tc>
          <w:tcPr/>
          <w:p>
            <w:pPr>
              <w:pStyle w:val="Compact"/>
              <w:jc w:val="left"/>
            </w:pPr>
            <w:r>
              <w:rPr>
                <w:bCs/>
                <w:b/>
              </w:rPr>
              <w:t xml:space="preserve">Raw Material Acquisition &amp; Processing</w:t>
            </w:r>
          </w:p>
        </w:tc>
        <w:tc>
          <w:tcPr/>
          <w:p>
            <w:pPr>
              <w:pStyle w:val="Compact"/>
              <w:jc w:val="left"/>
            </w:pPr>
            <w:r>
              <w:t xml:space="preserve">Scope 3 (Category 1)</w:t>
            </w:r>
          </w:p>
        </w:tc>
        <w:tc>
          <w:tcPr/>
          <w:p>
            <w:pPr>
              <w:pStyle w:val="Compact"/>
            </w:pPr>
          </w:p>
        </w:tc>
        <w:tc>
          <w:tcPr/>
          <w:p>
            <w:pPr>
              <w:pStyle w:val="Compact"/>
              <w:jc w:val="left"/>
            </w:pPr>
            <w:r>
              <w:t xml:space="preserve">Emissions embedded in the raw materials as per provided BOM.</w:t>
            </w:r>
          </w:p>
        </w:tc>
      </w:tr>
      <w:tr>
        <w:tc>
          <w:tcPr/>
          <w:p>
            <w:pPr>
              <w:pStyle w:val="Compact"/>
              <w:jc w:val="left"/>
            </w:pPr>
            <w:r>
              <w:rPr>
                <w:bCs/>
                <w:b/>
              </w:rPr>
              <w:t xml:space="preserve">Manufacturing Energy</w:t>
            </w:r>
          </w:p>
        </w:tc>
        <w:tc>
          <w:tcPr/>
          <w:p>
            <w:pPr>
              <w:pStyle w:val="Compact"/>
              <w:jc w:val="left"/>
            </w:pPr>
            <w:r>
              <w:t xml:space="preserve">Scope 2</w:t>
            </w:r>
          </w:p>
        </w:tc>
        <w:tc>
          <w:tcPr/>
          <w:p>
            <w:pPr>
              <w:pStyle w:val="Compact"/>
            </w:pPr>
          </w:p>
        </w:tc>
        <w:tc>
          <w:tcPr/>
          <w:p>
            <w:pPr>
              <w:pStyle w:val="Compact"/>
              <w:jc w:val="left"/>
            </w:pPr>
            <w:r>
              <w:t xml:space="preserve">Emissions from purchased non-renewable electricity for production.</w:t>
            </w:r>
          </w:p>
        </w:tc>
      </w:tr>
      <w:tr>
        <w:tc>
          <w:tcPr/>
          <w:p>
            <w:pPr>
              <w:pStyle w:val="Compact"/>
              <w:jc w:val="left"/>
            </w:pPr>
            <w:r>
              <w:rPr>
                <w:bCs/>
                <w:b/>
              </w:rPr>
              <w:t xml:space="preserve">Transport (Upstream)</w:t>
            </w:r>
          </w:p>
        </w:tc>
        <w:tc>
          <w:tcPr/>
          <w:p>
            <w:pPr>
              <w:pStyle w:val="Compact"/>
              <w:jc w:val="left"/>
            </w:pPr>
            <w:r>
              <w:t xml:space="preserve">Scope 3 (Category 4)</w:t>
            </w:r>
          </w:p>
        </w:tc>
        <w:tc>
          <w:tcPr/>
          <w:p>
            <w:pPr>
              <w:pStyle w:val="Compact"/>
            </w:pPr>
          </w:p>
        </w:tc>
        <w:tc>
          <w:tcPr/>
          <w:p>
            <w:pPr>
              <w:pStyle w:val="Compact"/>
              <w:jc w:val="left"/>
            </w:pPr>
            <w:r>
              <w:t xml:space="preserve">Emissions from transporting raw materials to the factory.</w:t>
            </w:r>
          </w:p>
        </w:tc>
      </w:tr>
      <w:tr>
        <w:tc>
          <w:tcPr/>
          <w:p>
            <w:pPr>
              <w:pStyle w:val="Compact"/>
              <w:jc w:val="left"/>
            </w:pPr>
            <w:r>
              <w:rPr>
                <w:bCs/>
                <w:b/>
              </w:rPr>
              <w:t xml:space="preserve">Use Phase</w:t>
            </w:r>
          </w:p>
        </w:tc>
        <w:tc>
          <w:tcPr/>
          <w:p>
            <w:pPr>
              <w:pStyle w:val="Compact"/>
              <w:jc w:val="left"/>
            </w:pPr>
            <w:r>
              <w:t xml:space="preserve">Scope 3 (Category 11)</w:t>
            </w:r>
          </w:p>
        </w:tc>
        <w:tc>
          <w:tcPr/>
          <w:p>
            <w:pPr>
              <w:pStyle w:val="Compact"/>
            </w:pPr>
          </w:p>
        </w:tc>
        <w:tc>
          <w:tcPr/>
          <w:p>
            <w:pPr>
              <w:pStyle w:val="Compact"/>
              <w:jc w:val="left"/>
            </w:pPr>
            <w:r>
              <w:t xml:space="preserve">Emissions from product energy consumption during its lifespan.</w:t>
            </w:r>
          </w:p>
        </w:tc>
      </w:tr>
      <w:tr>
        <w:tc>
          <w:tcPr/>
          <w:p>
            <w:pPr>
              <w:pStyle w:val="Compact"/>
              <w:jc w:val="left"/>
            </w:pPr>
            <w:r>
              <w:rPr>
                <w:bCs/>
                <w:b/>
              </w:rPr>
              <w:t xml:space="preserve">End-of-Life Treatment</w:t>
            </w:r>
          </w:p>
        </w:tc>
        <w:tc>
          <w:tcPr/>
          <w:p>
            <w:pPr>
              <w:pStyle w:val="Compact"/>
              <w:jc w:val="left"/>
            </w:pPr>
            <w:r>
              <w:t xml:space="preserve">Scope 3 (Category 12)</w:t>
            </w:r>
          </w:p>
        </w:tc>
        <w:tc>
          <w:tcPr/>
          <w:p>
            <w:pPr>
              <w:pStyle w:val="Compact"/>
            </w:pPr>
          </w:p>
        </w:tc>
        <w:tc>
          <w:tcPr/>
          <w:p>
            <w:pPr>
              <w:pStyle w:val="Compact"/>
              <w:jc w:val="left"/>
            </w:pPr>
            <w:r>
              <w:t xml:space="preserve">Emissions/credits from recycling and landfilling scenarios.</w:t>
            </w:r>
          </w:p>
        </w:tc>
      </w:tr>
      <w:tr>
        <w:tc>
          <w:tcPr/>
          <w:p>
            <w:pPr>
              <w:pStyle w:val="Compact"/>
              <w:jc w:val="left"/>
            </w:pPr>
            <w:r>
              <w:rPr>
                <w:bCs/>
                <w:b/>
              </w:rPr>
              <w:t xml:space="preserve">Direct Operations (Assumed)</w:t>
            </w:r>
          </w:p>
        </w:tc>
        <w:tc>
          <w:tcPr/>
          <w:p>
            <w:pPr>
              <w:pStyle w:val="Compact"/>
              <w:jc w:val="left"/>
            </w:pPr>
            <w:r>
              <w:t xml:space="preserve">Scope 1</w:t>
            </w:r>
          </w:p>
        </w:tc>
        <w:tc>
          <w:tcPr/>
          <w:p>
            <w:pPr>
              <w:pStyle w:val="Compact"/>
            </w:pPr>
          </w:p>
        </w:tc>
        <w:tc>
          <w:tcPr/>
          <w:p>
            <w:pPr>
              <w:pStyle w:val="Compact"/>
              <w:jc w:val="left"/>
            </w:pPr>
            <w:r>
              <w:t xml:space="preserve">Assumed minimal or zero as per provided parameters for this PCF.</w:t>
            </w:r>
          </w:p>
        </w:tc>
      </w:tr>
      <w:tr>
        <w:tc>
          <w:tcPr>
            <w:gridSpan w:val="2"/>
          </w:tcPr>
          <w:p>
            <w:pPr>
              <w:pStyle w:val="Compact"/>
              <w:jc w:val="left"/>
            </w:pPr>
            <w:r>
              <w:rPr>
                <w:bCs/>
                <w:b/>
              </w:rPr>
              <w:t xml:space="preserve">Total Product Carbon Footprint (PCF)</w:t>
            </w:r>
          </w:p>
        </w:tc>
        <w:tc>
          <w:tcPr/>
          <w:p>
            <w:pPr>
              <w:pStyle w:val="Compact"/>
            </w:pPr>
          </w:p>
        </w:tc>
        <w:tc>
          <w:tcPr/>
          <w:p>
            <w:pPr>
              <w:pStyle w:val="Compact"/>
              <w:jc w:val="left"/>
            </w:pPr>
            <w:r>
              <w:t xml:space="preserve">Sum of all lifecycle stage emissions.</w:t>
            </w:r>
          </w:p>
        </w:tc>
      </w:tr>
    </w:tbl>
    <w:bookmarkEnd w:id="30"/>
    <w:bookmarkStart w:id="31" w:name="ghg-protocol-scope-summary"/>
    <w:p>
      <w:pPr>
        <w:pStyle w:val="Heading3"/>
      </w:pPr>
      <w:r>
        <w:t xml:space="preserve">4.3.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pPr>
          </w:p>
        </w:tc>
        <w:tc>
          <w:tcPr/>
          <w:p>
            <w:pPr>
              <w:pStyle w:val="Compact"/>
              <w:jc w:val="left"/>
            </w:pPr>
            <w:r>
              <w:t xml:space="preserve">%</w:t>
            </w:r>
          </w:p>
        </w:tc>
      </w:tr>
      <w:tr>
        <w:tc>
          <w:tcPr/>
          <w:p>
            <w:pPr>
              <w:pStyle w:val="Compact"/>
              <w:jc w:val="left"/>
            </w:pPr>
            <w:r>
              <w:t xml:space="preserve">Scope 2 (Purchased Energy)</w:t>
            </w:r>
          </w:p>
        </w:tc>
        <w:tc>
          <w:tcPr/>
          <w:p>
            <w:pPr>
              <w:pStyle w:val="Compact"/>
            </w:pPr>
          </w:p>
        </w:tc>
        <w:tc>
          <w:tcPr/>
          <w:p>
            <w:pPr>
              <w:pStyle w:val="Compact"/>
              <w:jc w:val="left"/>
            </w:pPr>
            <w:r>
              <w:t xml:space="preserve">%</w:t>
            </w:r>
          </w:p>
        </w:tc>
      </w:tr>
      <w:tr>
        <w:tc>
          <w:tcPr/>
          <w:p>
            <w:pPr>
              <w:pStyle w:val="Compact"/>
              <w:jc w:val="left"/>
            </w:pPr>
            <w:r>
              <w:t xml:space="preserve">Scope 3 (Value Chain Emissions)</w:t>
            </w:r>
          </w:p>
        </w:tc>
        <w:tc>
          <w:tcPr/>
          <w:p>
            <w:pPr>
              <w:pStyle w:val="Compact"/>
            </w:pPr>
          </w:p>
        </w:tc>
        <w:tc>
          <w:tcPr/>
          <w:p>
            <w:pPr>
              <w:pStyle w:val="Compact"/>
              <w:jc w:val="left"/>
            </w:pPr>
            <w:r>
              <w:t xml:space="preserve">%</w:t>
            </w:r>
          </w:p>
        </w:tc>
      </w:tr>
      <w:tr>
        <w:tc>
          <w:tcPr/>
          <w:p>
            <w:pPr>
              <w:pStyle w:val="Compact"/>
              <w:jc w:val="left"/>
            </w:pPr>
            <w:r>
              <w:rPr>
                <w:bCs/>
                <w:b/>
              </w:rPr>
              <w:t xml:space="preserve">Total PCF</w:t>
            </w:r>
          </w:p>
        </w:tc>
        <w:tc>
          <w:tcPr/>
          <w:p>
            <w:pPr>
              <w:pStyle w:val="Compact"/>
            </w:pPr>
          </w:p>
        </w:tc>
        <w:tc>
          <w:tcPr/>
          <w:p>
            <w:pPr>
              <w:pStyle w:val="Compact"/>
              <w:jc w:val="left"/>
            </w:pPr>
            <w:r>
              <w:t xml:space="preserve">100.00%</w:t>
            </w:r>
          </w:p>
        </w:tc>
      </w:tr>
    </w:tbl>
    <w:bookmarkEnd w:id="31"/>
    <w:bookmarkStart w:id="32" w:name="land-sector-and-removals-lsr-update"/>
    <w:p>
      <w:pPr>
        <w:pStyle w:val="Heading3"/>
      </w:pPr>
      <w:r>
        <w:t xml:space="preserve">4.4. 2026 Land Sector and Removals (LSR) Update</w:t>
      </w:r>
    </w:p>
    <w:p>
      <w:pPr>
        <w:pStyle w:val="FirstParagraph"/>
      </w:pPr>
      <w:r>
        <w:t xml:space="preserve">The Land Sector and Removals (LSR) Standard is acknowledged and integrated into the accounting framework. For this specific product carbon footprint, operating with a \'factory_gate\' system boundary and the provided parameters, direct land-use change emissions or significant carbon removals within the reporting entity\'s direct operations for manufacturing qqxkmyuupz are not explicitly quantified as no specific land-use related activity data was provided. However, the upstream material impacts (Scope 3, Category 1) inherently include emissions from raw material extraction and processing, which could encompass land-use impacts if detailed in the emission factors used for those materials. Future analyses with expanded system boundaries and more specific data on bio-based materials or land-intensive processes would fully leverage the LSR Standard.</w:t>
      </w:r>
    </w:p>
    <w:bookmarkEnd w:id="32"/>
    <w:bookmarkStart w:id="33" w:name="scope-3-compliance"/>
    <w:p>
      <w:pPr>
        <w:pStyle w:val="Heading3"/>
      </w:pPr>
      <w:r>
        <w:t xml:space="preserve">4.5. Scope 3 Compliance</w:t>
      </w:r>
    </w:p>
    <w:p>
      <w:pPr>
        <w:pStyle w:val="FirstParagraph"/>
      </w:pPr>
      <w:r>
        <w:t xml:space="preserve">This analysis strives for comprehensive Scope 3 coverage. By incorporating emissions from raw materials (Category 1), upstream transportation (Category 4), use of sold products (Category 11), and end-of-life treatment (Category 12), this report aims to achieve at least 95% coverage for Scope 3 reporting, in line with 2026 requirements. The remaining Scope 3 categories (e.g., business travel, employee commuting, investments) are considered outside the direct product-level PCF boundary but would be relevant for a corporate-level GHG inventory.</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Based on the calculations, the primary emission hotspots for qqxkmyuupz are:</w:t>
      </w:r>
    </w:p>
    <w:p>
      <w:pPr>
        <w:numPr>
          <w:ilvl w:val="0"/>
          <w:numId w:val="1008"/>
        </w:numPr>
        <w:pStyle w:val="Compact"/>
      </w:pPr>
      <w:r>
        <w:rPr>
          <w:bCs/>
          <w:b/>
        </w:rPr>
        <w:t xml:space="preserve">Raw Material Acquisition &amp; Processing:</w:t>
      </w:r>
      <w:r>
        <w:t xml:space="preserve"> </w:t>
      </w:r>
      <w:r>
        <w:t xml:space="preserve">Constitutes the largest portion of the footprint, indicating that the selection and sourcing of materials are critical areas for reduction.</w:t>
      </w:r>
    </w:p>
    <w:p>
      <w:pPr>
        <w:numPr>
          <w:ilvl w:val="0"/>
          <w:numId w:val="1008"/>
        </w:numPr>
        <w:pStyle w:val="Compact"/>
      </w:pPr>
      <w:r>
        <w:rPr>
          <w:bCs/>
          <w:b/>
        </w:rPr>
        <w:t xml:space="preserve">Use Phase:</w:t>
      </w:r>
      <w:r>
        <w:t xml:space="preserve"> </w:t>
      </w:r>
      <w:r>
        <w:t xml:space="preserve">The energy consumption during the product\'s lifespan is a significant contributor, highlighting opportunities for energy efficiency improvements.</w:t>
      </w:r>
    </w:p>
    <w:p>
      <w:pPr>
        <w:numPr>
          <w:ilvl w:val="0"/>
          <w:numId w:val="1008"/>
        </w:numPr>
        <w:pStyle w:val="Compact"/>
      </w:pPr>
      <w:r>
        <w:rPr>
          <w:bCs/>
          <w:b/>
        </w:rPr>
        <w:t xml:space="preserve">Manufacturing Energy:</w:t>
      </w:r>
      <w:r>
        <w:t xml:space="preserve"> </w:t>
      </w:r>
      <w:r>
        <w:t xml:space="preserve">While lower than material impacts, the non-renewable portion of electricity used in manufacturing is a direct lever for reduction through increased renewable energy adoption.</w:t>
      </w:r>
    </w:p>
    <w:bookmarkEnd w:id="35"/>
    <w:bookmarkStart w:id="36" w:name="reliability-and-limitations"/>
    <w:p>
      <w:pPr>
        <w:pStyle w:val="Heading3"/>
      </w:pPr>
      <w:r>
        <w:t xml:space="preserve">5.2. Reliability and Limitations</w:t>
      </w:r>
    </w:p>
    <w:p>
      <w:pPr>
        <w:pStyle w:val="FirstParagraph"/>
      </w:pPr>
      <w:r>
        <w:t xml:space="preserve">The reliability of this PCF is good given the adherence to GHG Protocol and the use of provided specific data where available. However, certain limitations exist due to the nature of some input parameters being placeholders:</w:t>
      </w:r>
    </w:p>
    <w:p>
      <w:pPr>
        <w:numPr>
          <w:ilvl w:val="0"/>
          <w:numId w:val="1009"/>
        </w:numPr>
        <w:pStyle w:val="Compact"/>
      </w:pPr>
      <w:r>
        <w:rPr>
          <w:bCs/>
          <w:b/>
        </w:rPr>
        <w:t xml:space="preserve">Placeholder Data:</w:t>
      </w:r>
      <w:r>
        <w:t xml:space="preserve"> </w:t>
      </w:r>
      <w:r>
        <w:t xml:space="preserve">Parameters like \'Select Mode\' for transport and the generic product weight for transport/EoL necessitate the use of illustrative average emission factors, which may not perfectly reflect real-world conditions.</w:t>
      </w:r>
    </w:p>
    <w:p>
      <w:pPr>
        <w:numPr>
          <w:ilvl w:val="0"/>
          <w:numId w:val="1009"/>
        </w:numPr>
        <w:pStyle w:val="Compact"/>
      </w:pPr>
      <w:r>
        <w:rPr>
          <w:bCs/>
          <w:b/>
        </w:rPr>
        <w:t xml:space="preserve">Emission Factor Specificity:</w:t>
      </w:r>
      <w:r>
        <w:t xml:space="preserve"> </w:t>
      </w:r>
      <w:r>
        <w:t xml:space="preserve">While industry-standard factors are used, specific supplier-specific or region-specific emission factors for certain processes or materials could enhance accuracy.</w:t>
      </w:r>
    </w:p>
    <w:p>
      <w:pPr>
        <w:numPr>
          <w:ilvl w:val="0"/>
          <w:numId w:val="1009"/>
        </w:numPr>
        <w:pStyle w:val="Compact"/>
      </w:pPr>
      <w:r>
        <w:rPr>
          <w:bCs/>
          <w:b/>
        </w:rPr>
        <w:t xml:space="preserve">System Boundary:</w:t>
      </w:r>
      <w:r>
        <w:t xml:space="preserve"> </w:t>
      </w:r>
      <w:r>
        <w:t xml:space="preserve">While comprehensive for a product PCF, a full organizational footprint would include additional Scope 3 categories.</w:t>
      </w:r>
    </w:p>
    <w:bookmarkEnd w:id="36"/>
    <w:bookmarkStart w:id="37" w:name="recommendations-for-decarbonization"/>
    <w:p>
      <w:pPr>
        <w:pStyle w:val="Heading3"/>
      </w:pPr>
      <w:r>
        <w:t xml:space="preserve">5.3. Recommendations for Decarbonization</w:t>
      </w:r>
    </w:p>
    <w:p>
      <w:pPr>
        <w:numPr>
          <w:ilvl w:val="0"/>
          <w:numId w:val="1010"/>
        </w:numPr>
        <w:pStyle w:val="Compact"/>
      </w:pPr>
      <w:r>
        <w:rPr>
          <w:bCs/>
          <w:b/>
        </w:rPr>
        <w:t xml:space="preserve">Material Optimization:</w:t>
      </w:r>
      <w:r>
        <w:t xml:space="preserve"> </w:t>
      </w:r>
      <w:r>
        <w:t xml:space="preserve">Focus on sourcing lower-carbon materials, exploring recycled content, or designing for material efficiency to reduce the significant impact from raw material acquisition.</w:t>
      </w:r>
    </w:p>
    <w:p>
      <w:pPr>
        <w:numPr>
          <w:ilvl w:val="0"/>
          <w:numId w:val="1010"/>
        </w:numPr>
        <w:pStyle w:val="Compact"/>
      </w:pPr>
      <w:r>
        <w:rPr>
          <w:bCs/>
          <w:b/>
        </w:rPr>
        <w:t xml:space="preserve">Renewable Energy Transition:</w:t>
      </w:r>
      <w:r>
        <w:t xml:space="preserve"> </w:t>
      </w:r>
      <w:r>
        <w:t xml:space="preserve">Increase the percentage of renewable energy (beyond \'fojiwqutzd%\') used in manufacturing operations to reduce Scope 2 emissions.</w:t>
      </w:r>
    </w:p>
    <w:p>
      <w:pPr>
        <w:numPr>
          <w:ilvl w:val="0"/>
          <w:numId w:val="1010"/>
        </w:numPr>
        <w:pStyle w:val="Compact"/>
      </w:pPr>
      <w:r>
        <w:rPr>
          <w:bCs/>
          <w:b/>
        </w:rPr>
        <w:t xml:space="preserve">Product Energy Efficiency:</w:t>
      </w:r>
      <w:r>
        <w:t xml:space="preserve"> </w:t>
      </w:r>
      <w:r>
        <w:t xml:space="preserve">Implement design changes to reduce \'lmgdionoum\' (energy consumption in use) and extend \'feodokpvvp\' (product lifespan), thereby lowering use-phase emissions.</w:t>
      </w:r>
    </w:p>
    <w:p>
      <w:pPr>
        <w:numPr>
          <w:ilvl w:val="0"/>
          <w:numId w:val="1010"/>
        </w:numPr>
        <w:pStyle w:val="Compact"/>
      </w:pPr>
      <w:r>
        <w:rPr>
          <w:bCs/>
          <w:b/>
        </w:rPr>
        <w:t xml:space="preserve">Supply Chain Engagement:</w:t>
      </w:r>
      <w:r>
        <w:t xml:space="preserve"> </w:t>
      </w:r>
      <w:r>
        <w:t xml:space="preserve">Collaborate with suppliers to obtain more precise, primary data on their emissions, especially for Europe-focused supply chain elements, to improve Scope 3 accuracy.</w:t>
      </w:r>
    </w:p>
    <w:p>
      <w:pPr>
        <w:numPr>
          <w:ilvl w:val="0"/>
          <w:numId w:val="1010"/>
        </w:numPr>
        <w:pStyle w:val="Compact"/>
      </w:pPr>
      <w:r>
        <w:rPr>
          <w:bCs/>
          <w:b/>
        </w:rPr>
        <w:t xml:space="preserve">Circular Economy Initiatives:</w:t>
      </w:r>
      <w:r>
        <w:t xml:space="preserve"> </w:t>
      </w:r>
      <w:r>
        <w:t xml:space="preserve">Enhance \'zrsogmdmto\' (recyclability percentage) and expand \'vrzgwwfvzm\' (circular/take-back programs) to maximize material recovery and minimize end-of-life impacts.</w:t>
      </w:r>
    </w:p>
    <w:bookmarkEnd w:id="37"/>
    <w:bookmarkEnd w:id="38"/>
    <w:bookmarkStart w:id="39" w:name="conclusion"/>
    <w:p>
      <w:pPr>
        <w:pStyle w:val="Heading2"/>
      </w:pPr>
      <w:r>
        <w:t xml:space="preserve">Conclusion</w:t>
      </w:r>
    </w:p>
    <w:p>
      <w:pPr>
        <w:pStyle w:val="FirstParagraph"/>
      </w:pPr>
      <w:r>
        <w:t xml:space="preserve">This Product Carbon Footprint analysis for qqxkmyuupz by qxpdtosujp provides a robust baseline for understanding its environmental impact, adhering to the stringent requirements of the GHG Protocol and the 2026 LSR Update. The identified hotspots highlight clear pathways for reducing the product\'s carbon footprint, reinforcing qxpdtosujp\'s commitment to sustainability.</w:t>
      </w:r>
    </w:p>
    <w:p>
      <w:pPr>
        <w:pStyle w:val="BodyText"/>
      </w:pPr>
      <w:r>
        <w:t xml:space="preserve">Confidential - Internal Use Only.</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qqxkmyuupz</dc:title>
  <dc:creator/>
  <dc:description>A high-detail Product Carbon Footprint (PCF) analysis report for qqxkmyuupz, conducted by Senior Sustainability Consultant gxpzjdtkmx, adhering to GHG Protocol standards and the 2026 LSR Update.</dc:description>
  <dc:language>en</dc:language>
  <cp:keywords/>
  <dcterms:created xsi:type="dcterms:W3CDTF">2026-07-15T12:52:13Z</dcterms:created>
  <dcterms:modified xsi:type="dcterms:W3CDTF">2026-07-15T12:52:13Z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