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qqeuehpilw</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qqeuehpilw</w:t>
      </w:r>
    </w:p>
    <w:p>
      <w:pPr>
        <w:pStyle w:val="BodyText"/>
      </w:pPr>
      <w:r>
        <w:rPr>
          <w:bCs/>
          <w:b/>
        </w:rPr>
        <w:t xml:space="preserve">Company:</w:t>
      </w:r>
      <w:r>
        <w:t xml:space="preserve"> </w:t>
      </w:r>
      <w:r>
        <w:t xml:space="preserve">rkrpvksjnk</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vfplgxmggf</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21" w:name="Xa86674441c6fee92c62b57cfdc070bcbed816af"/>
    <w:p>
      <w:pPr>
        <w:pStyle w:val="Heading1"/>
      </w:pPr>
      <w:r>
        <w:t xml:space="preserve">Product Carbon Footprint Analysis: qqeuehpilw</w:t>
      </w:r>
    </w:p>
    <w:p>
      <w:pPr>
        <w:pStyle w:val="FirstParagraph"/>
      </w:pPr>
      <w:r>
        <w:rPr>
          <w:bCs/>
          <w:b/>
        </w:rPr>
        <w:t xml:space="preserve">Generated Date:</w:t>
      </w:r>
      <w:r>
        <w:t xml:space="preserve"> </w:t>
      </w:r>
      <w:r>
        <w:t xml:space="preserve">June 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"qqeuehpilw", manufactured by rkrpvksjnk. The assessment was performed by Senior Sustainability Consultant vfplgxmggf, adhering strictly to the GHG Protocol standards, including the latest 2026 updates for the Land Sector and Removals (LSR) Standard and enhanced Scope 3 reporting requirements. The analysis covers the lifecycle from "factory_gate" with a geographic scope focused on final production in China and a supply chain largely centered in Europe. The functional unit for this study is 1.0 unit of qqeuehpilw. This report identifies key emission hotspots across material acquisition, manufacturing, transportation, use, and end-of-life phases, providing a comprehensive understanding of the product\'s environmental impact.</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(PCF) analysis is</w:t>
      </w:r>
      <w:r>
        <w:t xml:space="preserve"> </w:t>
      </w:r>
      <w:r>
        <w:rPr>
          <w:bCs/>
          <w:b/>
        </w:rPr>
        <w:t xml:space="preserve">1.0 unit of qqeuehpilw</w:t>
      </w:r>
      <w:r>
        <w:t xml:space="preserve">, representing the quantity of the product needed to fulfill its intended function over its lifespan.</w:t>
      </w:r>
    </w:p>
    <w:bookmarkEnd w:id="23"/>
    <w:bookmarkStart w:id="24" w:name="system-boundary"/>
    <w:p>
      <w:pPr>
        <w:pStyle w:val="Heading3"/>
      </w:pPr>
      <w:r>
        <w:t xml:space="preserve">1.2. System Boundary</w:t>
      </w:r>
    </w:p>
    <w:p>
      <w:pPr>
        <w:pStyle w:val="FirstParagraph"/>
      </w:pPr>
      <w:r>
        <w:t xml:space="preserve">The system boundary for this assessment is defined as</w:t>
      </w:r>
      <w:r>
        <w:t xml:space="preserve"> </w:t>
      </w:r>
      <w:r>
        <w:rPr>
          <w:bCs/>
          <w:b/>
        </w:rPr>
        <w:t xml:space="preserve">"factory_gate"</w:t>
      </w:r>
      <w:r>
        <w:t xml:space="preserve">. This encompasses all upstream activities, including raw material extraction, processing, manufacturing of components (based on the Detailed Bill of Materials), and transportation to the final production facility. It also includes emissions from the manufacturing processes at the factory gate. Downstream activities, such as product distribution, use phase, and end-of-life treatment, are also included to provide a comprehensive cradle-to-grave perspective, as typically required by PCF analyses, although the initial "factory_gate" boundary specifies the point of primary data collection for production.</w:t>
      </w:r>
    </w:p>
    <w:bookmarkEnd w:id="24"/>
    <w:bookmarkStart w:id="25" w:name="geographic-scope"/>
    <w:p>
      <w:pPr>
        <w:pStyle w:val="Heading3"/>
      </w:pPr>
      <w:r>
        <w:t xml:space="preserve">1.3. Geographic Scope</w:t>
      </w:r>
    </w:p>
    <w:p>
      <w:pPr>
        <w:pStyle w:val="FirstParagraph"/>
      </w:pPr>
      <w:r>
        <w:t xml:space="preserve">The geographic scope of this PCF analysis specifies the</w:t>
      </w:r>
      <w:r>
        <w:t xml:space="preserve"> </w:t>
      </w:r>
      <w:r>
        <w:rPr>
          <w:bCs/>
          <w:b/>
        </w:rPr>
        <w:t xml:space="preserve">Final Production Country as China</w:t>
      </w:r>
      <w:r>
        <w:t xml:space="preserve">, with a broader</w:t>
      </w:r>
      <w:r>
        <w:t xml:space="preserve"> </w:t>
      </w:r>
      <w:r>
        <w:rPr>
          <w:bCs/>
          <w:b/>
        </w:rPr>
        <w:t xml:space="preserve">Supply Chain Focus on Europe</w:t>
      </w:r>
      <w:r>
        <w:t xml:space="preserve">. This means raw materials and components primarily originate from or are routed through European supply chains before final assembly in China, and the product is largely distributed and used in Europe.</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w:t>
      </w:r>
    </w:p>
    <w:p>
      <w:pPr>
        <w:pStyle w:val="BodyText"/>
      </w:pPr>
      <w:r>
        <w:t xml:space="preserve">Furthermore, this report incorporates considerations from the</w:t>
      </w:r>
      <w:r>
        <w:t xml:space="preserve"> </w:t>
      </w:r>
      <w:r>
        <w:rPr>
          <w:bCs/>
          <w:b/>
        </w:rPr>
        <w:t xml:space="preserve">2026 Land Sector and Removals (LSR) Standard Update</w:t>
      </w:r>
      <w:r>
        <w:t xml:space="preserve">. The LSR Standard, released on January 30, 2026, and effective January 1, 2027, provides requirements and guidance for quantifying, reporting, and tracking land emissions and CO₂ removals. While specific land-use data for qqeuehpilw\'s supply chain is not directly provided in the parameters, the principles of assessing and acknowledging potential land-related impacts and removals across the value chain are implicitly considered in the comprehensive Scope 3 analysis, particularly for raw material sourcing.</w:t>
      </w:r>
    </w:p>
    <w:p>
      <w:pPr>
        <w:pStyle w:val="BodyText"/>
      </w:pPr>
      <w:r>
        <w:t xml:space="preserve">In line with the</w:t>
      </w:r>
      <w:r>
        <w:t xml:space="preserve"> </w:t>
      </w:r>
      <w:r>
        <w:rPr>
          <w:bCs/>
          <w:b/>
        </w:rPr>
        <w:t xml:space="preserve">2026 Scope 3 compliance requirements</w:t>
      </w:r>
      <w:r>
        <w:t xml:space="preserve">, a robust effort has been made to ensure at least</w:t>
      </w:r>
      <w:r>
        <w:t xml:space="preserve"> </w:t>
      </w:r>
      <w:r>
        <w:rPr>
          <w:bCs/>
          <w:b/>
        </w:rPr>
        <w:t xml:space="preserve">95% coverage</w:t>
      </w:r>
      <w:r>
        <w:t xml:space="preserve"> </w:t>
      </w:r>
      <w:r>
        <w:t xml:space="preserve">of all required Scope 3 emissions. Proposed revisions to the Scope 3 Standard, outlined in March 2026, emphasize this prescriptive completeness requirement, allowing for no more than 5% exclusion of required Scope 3 emissions, which must be quantified, disclosed, and justified. This report aims to meet this stringent coverage through detailed data collection and calculation across relevant Scope 3 categories.</w:t>
      </w:r>
    </w:p>
    <w:bookmarkEnd w:id="26"/>
    <w:bookmarkStart w:id="27" w:name="allocation"/>
    <w:p>
      <w:pPr>
        <w:pStyle w:val="Heading3"/>
      </w:pPr>
      <w:r>
        <w:t xml:space="preserve">1.5. Allocation</w:t>
      </w:r>
    </w:p>
    <w:p>
      <w:pPr>
        <w:pStyle w:val="FirstParagraph"/>
      </w:pPr>
      <w:r>
        <w:t xml:space="preserve">Emissions are allocated to the functional unit (1.0 unit of qqeuehpilw) based on physical allocation methods (e.g., mass, energy consumption) for materials, energy, and transport where appropriate. For multi-product processes, economic allocation or system expansion (for recycling credits) is applied to ensure fair distribution of environmental burdens.</w:t>
      </w:r>
    </w:p>
    <w:p>
      <w:r>
        <w:pict>
          <v:rect style="width:0;height:1.5pt" o:hralign="center" o:hrstd="t" o:hr="t"/>
        </w:pict>
      </w:r>
    </w:p>
    <w:bookmarkEnd w:id="27"/>
    <w:bookmarkEnd w:id="28"/>
    <w:bookmarkStart w:id="35" w:name="X07cf0ea829f60a4f8fa47c00f72a11793fbe483"/>
    <w:p>
      <w:pPr>
        <w:pStyle w:val="Heading2"/>
      </w:pPr>
      <w:r>
        <w:t xml:space="preserve">2. Lifecycle Mapping (LCI Inventory Stages) &amp; 3. Data Collection</w:t>
      </w:r>
    </w:p>
    <w:p>
      <w:pPr>
        <w:pStyle w:val="FirstParagraph"/>
      </w:pPr>
      <w:r>
        <w:t xml:space="preserve">The lifecycle of qqeuehpilw is mapped across five key stages: Material Acquisition &amp; Pre-processing, Production (Manufacturing), Transportation, Use Phase, and End-of-Life. Data collection involved both primary data (where provided) and secondary data (industry-average emission factors).</w:t>
      </w:r>
    </w:p>
    <w:bookmarkStart w:id="30" w:name="X1198c8af25dd1a2ebffa686809674f976343a37"/>
    <w:p>
      <w:pPr>
        <w:pStyle w:val="Heading3"/>
      </w:pPr>
      <w:r>
        <w:t xml:space="preserve">2.1. Material Acquisition &amp; Pre-processing (Scope 3 - Upstream)</w:t>
      </w:r>
    </w:p>
    <w:p>
      <w:pPr>
        <w:pStyle w:val="FirstParagraph"/>
      </w:pPr>
      <w:r>
        <w:t xml:space="preserve">The Detailed Bill of Materials (BOM) for qqeuehpilw is provided below, including specific emission factors and total carbon for each component. These values are used directly for high-accuracy material impact calculation.</w:t>
      </w:r>
    </w:p>
    <w:bookmarkStart w:id="29" w:name="X4bd8e6582ef08c6dd3733ed2de5dc41b200b211"/>
    <w:p>
      <w:pPr>
        <w:pStyle w:val="Heading4"/>
      </w:pPr>
      <w:r>
        <w:t xml:space="preserve">Detailed Bill of Materials (BOM) - qqeuehpilw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Steel Frame Component</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2.2</w:t>
            </w:r>
          </w:p>
        </w:tc>
        <w:tc>
          <w:tcPr/>
          <w:p>
            <w:pPr>
              <w:pStyle w:val="Compact"/>
              <w:jc w:val="left"/>
            </w:pPr>
            <w:r>
              <w:t xml:space="preserve">1.65</w:t>
            </w:r>
          </w:p>
        </w:tc>
      </w:tr>
      <w:tr>
        <w:tc>
          <w:tcPr/>
          <w:p>
            <w:pPr>
              <w:pStyle w:val="Compact"/>
              <w:jc w:val="left"/>
            </w:pPr>
            <w:r>
              <w:t xml:space="preserve">102</w:t>
            </w:r>
          </w:p>
        </w:tc>
        <w:tc>
          <w:tcPr/>
          <w:p>
            <w:pPr>
              <w:pStyle w:val="Compact"/>
              <w:jc w:val="left"/>
            </w:pPr>
            <w:r>
              <w:t xml:space="preserve">Polymer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0.40</w:t>
            </w:r>
          </w:p>
        </w:tc>
        <w:tc>
          <w:tcPr/>
          <w:p>
            <w:pPr>
              <w:pStyle w:val="Compact"/>
              <w:jc w:val="left"/>
            </w:pPr>
            <w:r>
              <w:t xml:space="preserve">kg</w:t>
            </w:r>
          </w:p>
        </w:tc>
        <w:tc>
          <w:tcPr/>
          <w:p>
            <w:pPr>
              <w:pStyle w:val="Compact"/>
              <w:jc w:val="left"/>
            </w:pPr>
            <w:r>
              <w:t xml:space="preserve">3.5</w:t>
            </w:r>
          </w:p>
        </w:tc>
        <w:tc>
          <w:tcPr/>
          <w:p>
            <w:pPr>
              <w:pStyle w:val="Compact"/>
              <w:jc w:val="left"/>
            </w:pPr>
            <w:r>
              <w:t xml:space="preserve">1.40</w:t>
            </w:r>
          </w:p>
        </w:tc>
      </w:tr>
      <w:tr>
        <w:tc>
          <w:tcPr/>
          <w:p>
            <w:pPr>
              <w:pStyle w:val="Compact"/>
              <w:jc w:val="left"/>
            </w:pPr>
            <w:r>
              <w:t xml:space="preserve">103</w:t>
            </w:r>
          </w:p>
        </w:tc>
        <w:tc>
          <w:tcPr/>
          <w:p>
            <w:pPr>
              <w:pStyle w:val="Compact"/>
              <w:jc w:val="left"/>
            </w:pPr>
            <w:r>
              <w:t xml:space="preserve">Main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1.8</w:t>
            </w:r>
          </w:p>
        </w:tc>
        <w:tc>
          <w:tcPr/>
          <w:p>
            <w:pPr>
              <w:pStyle w:val="Compact"/>
              <w:jc w:val="left"/>
            </w:pPr>
            <w:r>
              <w:t xml:space="preserve">1.80</w:t>
            </w:r>
          </w:p>
        </w:tc>
      </w:tr>
      <w:tr>
        <w:tc>
          <w:tcPr/>
          <w:p>
            <w:pPr>
              <w:pStyle w:val="Compact"/>
              <w:jc w:val="left"/>
            </w:pPr>
            <w:r>
              <w:t xml:space="preserve">104</w:t>
            </w:r>
          </w:p>
        </w:tc>
        <w:tc>
          <w:tcPr/>
          <w:p>
            <w:pPr>
              <w:pStyle w:val="Compact"/>
              <w:jc w:val="left"/>
            </w:pPr>
            <w:r>
              <w:t xml:space="preserve">Internal Wiring</w:t>
            </w:r>
          </w:p>
        </w:tc>
        <w:tc>
          <w:tcPr/>
          <w:p>
            <w:pPr>
              <w:pStyle w:val="Compact"/>
              <w:jc w:val="left"/>
            </w:pPr>
            <w:r>
              <w:t xml:space="preserve">Copper/Plastic</w:t>
            </w:r>
          </w:p>
        </w:tc>
        <w:tc>
          <w:tcPr/>
          <w:p>
            <w:pPr>
              <w:pStyle w:val="Compact"/>
              <w:jc w:val="left"/>
            </w:pPr>
            <w:r>
              <w:t xml:space="preserve">Extrusion/Assembly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Paper/Fiber</w:t>
            </w:r>
          </w:p>
        </w:tc>
        <w:tc>
          <w:tcPr/>
          <w:p>
            <w:pPr>
              <w:pStyle w:val="Compact"/>
              <w:jc w:val="left"/>
            </w:pPr>
            <w:r>
              <w:t xml:space="preserve">Converting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bookmarkEnd w:id="29"/>
    <w:bookmarkEnd w:id="30"/>
    <w:bookmarkStart w:id="31" w:name="production-manufacturing-scope-1-2"/>
    <w:p>
      <w:pPr>
        <w:pStyle w:val="Heading3"/>
      </w:pPr>
      <w:r>
        <w:t xml:space="preserve">2.2. Production (Manufacturing) (Scope 1 &amp; 2)</w:t>
      </w:r>
    </w:p>
    <w:p>
      <w:pPr>
        <w:pStyle w:val="FirstParagraph"/>
      </w:pPr>
      <w:r>
        <w:t xml:space="preserve">The final production of qqeuehpilw takes place in China. Key energy inputs are considered:</w:t>
      </w:r>
    </w:p>
    <w:p>
      <w:pPr>
        <w:numPr>
          <w:ilvl w:val="0"/>
          <w:numId w:val="1001"/>
        </w:numPr>
        <w:pStyle w:val="Compact"/>
      </w:pPr>
      <w:r>
        <w:rPr>
          <w:bCs/>
          <w:b/>
        </w:rPr>
        <w:t xml:space="preserve">Energy Intensity (kWh/unit):</w:t>
      </w:r>
      <w:r>
        <w:t xml:space="preserve"> </w:t>
      </w:r>
      <w:r>
        <w:t xml:space="preserve">nlzxghwdgj (e.g., 20 kWh/unit)</w:t>
      </w:r>
    </w:p>
    <w:p>
      <w:pPr>
        <w:numPr>
          <w:ilvl w:val="0"/>
          <w:numId w:val="1001"/>
        </w:numPr>
        <w:pStyle w:val="Compact"/>
      </w:pPr>
      <w:r>
        <w:rPr>
          <w:bCs/>
          <w:b/>
        </w:rPr>
        <w:t xml:space="preserve">Renewable Energy Usage:</w:t>
      </w:r>
      <w:r>
        <w:t xml:space="preserve"> </w:t>
      </w:r>
      <w:r>
        <w:t xml:space="preserve">fyzyhdpdmt (e.g., 60%)</w:t>
      </w:r>
    </w:p>
    <w:p>
      <w:pPr>
        <w:numPr>
          <w:ilvl w:val="0"/>
          <w:numId w:val="1001"/>
        </w:numPr>
        <w:pStyle w:val="Compact"/>
      </w:pPr>
      <w:r>
        <w:t xml:space="preserve">Remaining energy (40%) is sourced from the local grid mix.</w:t>
      </w:r>
    </w:p>
    <w:p>
      <w:pPr>
        <w:pStyle w:val="FirstParagraph"/>
      </w:pPr>
      <w:r>
        <w:t xml:space="preserve">Industry-standard emission factors from sources like Ecoinvent and national grid data are utilized for electricity emissions. The electricity grid emission factor for China is approximated at 0.7 kg CO2e/kWh for the non-renewable portion. Emissions from manufacturing facilities\' direct fuel consumption (Scope 1) are assumed to be negligible for this PCF boundary focused on factory_gate purchased energy and materials, but are generally accounted for in comprehensive corporate inventories.</w:t>
      </w:r>
    </w:p>
    <w:bookmarkEnd w:id="31"/>
    <w:bookmarkStart w:id="32" w:name="X981923b8cb60f0edee598a5efe02199461582eb"/>
    <w:p>
      <w:pPr>
        <w:pStyle w:val="Heading3"/>
      </w:pPr>
      <w:r>
        <w:t xml:space="preserve">2.3. Transportation (Scope 3 - Upstream &amp; Downstream)</w:t>
      </w:r>
    </w:p>
    <w:p>
      <w:pPr>
        <w:pStyle w:val="FirstParagraph"/>
      </w:pPr>
      <w:r>
        <w:t xml:space="preserve">Transportation plays a significant role in the overall footprint due to the "Europe Focused" supply chain.</w:t>
      </w:r>
    </w:p>
    <w:p>
      <w:pPr>
        <w:numPr>
          <w:ilvl w:val="0"/>
          <w:numId w:val="1002"/>
        </w:numPr>
        <w:pStyle w:val="Compact"/>
      </w:pPr>
      <w:r>
        <w:rPr>
          <w:bCs/>
          <w:b/>
        </w:rPr>
        <w:t xml:space="preserve">Transport Mode:</w:t>
      </w:r>
      <w:r>
        <w:t xml:space="preserve"> </w:t>
      </w:r>
      <w:r>
        <w:t xml:space="preserve">Select Mode (assumed to be a combination of ocean freight and road freight).</w:t>
      </w:r>
    </w:p>
    <w:p>
      <w:pPr>
        <w:numPr>
          <w:ilvl w:val="0"/>
          <w:numId w:val="1002"/>
        </w:numPr>
        <w:pStyle w:val="Compact"/>
      </w:pPr>
      <w:r>
        <w:rPr>
          <w:bCs/>
          <w:b/>
        </w:rPr>
        <w:t xml:space="preserve">Transport Distance:</w:t>
      </w:r>
      <w:r>
        <w:t xml:space="preserve"> </w:t>
      </w:r>
      <w:r>
        <w:t xml:space="preserve">hvrguwyogu (assumed to be 20,000 km for ocean freight from China to Europe, and 1,000 km for road freight for both upstream collection/distribution in China and downstream distribution in Europe).</w:t>
      </w:r>
    </w:p>
    <w:p>
      <w:pPr>
        <w:numPr>
          <w:ilvl w:val="0"/>
          <w:numId w:val="1002"/>
        </w:numPr>
        <w:pStyle w:val="Compact"/>
      </w:pPr>
      <w:r>
        <w:rPr>
          <w:bCs/>
          <w:b/>
        </w:rPr>
        <w:t xml:space="preserve">Last-Mile Delivery Channel:</w:t>
      </w:r>
      <w:r>
        <w:t xml:space="preserve"> </w:t>
      </w:r>
      <w:r>
        <w:t xml:space="preserve">Delivery Type (assumed to be parcel delivery by road freight in Europe).</w:t>
      </w:r>
    </w:p>
    <w:p>
      <w:pPr>
        <w:pStyle w:val="FirstParagraph"/>
      </w:pPr>
      <w:r>
        <w:t xml:space="preserve">Emission factors for various transport modes are sourced from industry standards, such as DEFRA emission factors, which are updated annually and cover emissions from a range of activities including transportation.</w:t>
      </w:r>
    </w:p>
    <w:bookmarkEnd w:id="32"/>
    <w:bookmarkStart w:id="33" w:name="use-phase-scope-3---downstream"/>
    <w:p>
      <w:pPr>
        <w:pStyle w:val="Heading3"/>
      </w:pPr>
      <w:r>
        <w:t xml:space="preserve">2.4. Use Phase (Scope 3 - Downstream)</w:t>
      </w:r>
    </w:p>
    <w:p>
      <w:pPr>
        <w:pStyle w:val="FirstParagraph"/>
      </w:pPr>
      <w:r>
        <w:t xml:space="preserve">The energy consumption during the product\'s operational life significantly contributes to its PCF.</w:t>
      </w:r>
    </w:p>
    <w:p>
      <w:pPr>
        <w:numPr>
          <w:ilvl w:val="0"/>
          <w:numId w:val="1003"/>
        </w:numPr>
        <w:pStyle w:val="Compact"/>
      </w:pPr>
      <w:r>
        <w:rPr>
          <w:bCs/>
          <w:b/>
        </w:rPr>
        <w:t xml:space="preserve">Product Lifespan:</w:t>
      </w:r>
      <w:r>
        <w:t xml:space="preserve"> </w:t>
      </w:r>
      <w:r>
        <w:t xml:space="preserve">fpsgkvvmod (e.g., 5 years)</w:t>
      </w:r>
    </w:p>
    <w:p>
      <w:pPr>
        <w:numPr>
          <w:ilvl w:val="0"/>
          <w:numId w:val="1003"/>
        </w:numPr>
        <w:pStyle w:val="Compact"/>
      </w:pPr>
      <w:r>
        <w:rPr>
          <w:bCs/>
          <w:b/>
        </w:rPr>
        <w:t xml:space="preserve">Energy Consumption in Use:</w:t>
      </w:r>
      <w:r>
        <w:t xml:space="preserve"> </w:t>
      </w:r>
      <w:r>
        <w:t xml:space="preserve">jxxezwsuxt (e.g., 15 kWh/year)</w:t>
      </w:r>
    </w:p>
    <w:p>
      <w:pPr>
        <w:pStyle w:val="FirstParagraph"/>
      </w:pPr>
      <w:r>
        <w:t xml:space="preserve">The energy used during the product\'s lifespan is assumed to be consumed in Europe, utilizing an average European grid electricity emission factor, approximated at 0.25 kg CO2e/kWh.</w:t>
      </w:r>
    </w:p>
    <w:bookmarkEnd w:id="33"/>
    <w:bookmarkStart w:id="34" w:name="end-of-life-eol-scope-3---downstream"/>
    <w:p>
      <w:pPr>
        <w:pStyle w:val="Heading3"/>
      </w:pPr>
      <w:r>
        <w:t xml:space="preserve">2.5. End-of-Life (EoL) (Scope 3 - Downstream)</w:t>
      </w:r>
    </w:p>
    <w:p>
      <w:pPr>
        <w:pStyle w:val="FirstParagraph"/>
      </w:pPr>
      <w:r>
        <w:t xml:space="preserve">The end-of-life scenario for qqeuehpilw incorporates circular economy principles.</w:t>
      </w:r>
    </w:p>
    <w:p>
      <w:pPr>
        <w:numPr>
          <w:ilvl w:val="0"/>
          <w:numId w:val="1004"/>
        </w:numPr>
        <w:pStyle w:val="Compact"/>
      </w:pPr>
      <w:r>
        <w:rPr>
          <w:bCs/>
          <w:b/>
        </w:rPr>
        <w:t xml:space="preserve">Recyclability Percentage:</w:t>
      </w:r>
      <w:r>
        <w:t xml:space="preserve"> </w:t>
      </w:r>
      <w:r>
        <w:t xml:space="preserve">mqlwgxlosr (e.g., 75%)</w:t>
      </w:r>
    </w:p>
    <w:p>
      <w:pPr>
        <w:numPr>
          <w:ilvl w:val="0"/>
          <w:numId w:val="1004"/>
        </w:numPr>
        <w:pStyle w:val="Compact"/>
      </w:pPr>
      <w:r>
        <w:rPr>
          <w:bCs/>
          <w:b/>
        </w:rPr>
        <w:t xml:space="preserve">Circular/Take-back Programs:</w:t>
      </w:r>
      <w:r>
        <w:t xml:space="preserve"> </w:t>
      </w:r>
      <w:r>
        <w:t xml:space="preserve">tmniushehj (e.g., "Robust company-operated take-back and refurbishment program for key components")</w:t>
      </w:r>
    </w:p>
    <w:p>
      <w:pPr>
        <w:pStyle w:val="FirstParagraph"/>
      </w:pPr>
      <w:r>
        <w:t xml:space="preserve">Emissions associated with disposal (e.g., landfill, incineration for non-recycled content) are considered, alongside avoided emissions (credits) from recycling.</w:t>
      </w:r>
    </w:p>
    <w:p>
      <w:r>
        <w:pict>
          <v:rect style="width:0;height:1.5pt" o:hralign="center" o:hrstd="t" o:hr="t"/>
        </w:pict>
      </w:r>
    </w:p>
    <w:bookmarkEnd w:id="34"/>
    <w:bookmarkEnd w:id="35"/>
    <w:bookmarkStart w:id="44" w:name="emissions-calculation"/>
    <w:p>
      <w:pPr>
        <w:pStyle w:val="Heading2"/>
      </w:pPr>
      <w:r>
        <w:t xml:space="preserve">4. Emissions Calculation</w:t>
      </w:r>
    </w:p>
    <w:p>
      <w:pPr>
        <w:pStyle w:val="FirstParagraph"/>
      </w:pPr>
      <w:r>
        <w:t xml:space="preserve">Emissions are calculated using the formula: Activity Data × Emission Factor = CO2e.</w:t>
      </w:r>
      <w:r>
        <w:t xml:space="preserve"> </w:t>
      </w:r>
      <w:r>
        <w:t xml:space="preserve">All calculations are in Carbon Dioxide Equivalents (CO2e), encompassing relevant greenhouse gases.</w:t>
      </w:r>
    </w:p>
    <w:p>
      <w:pPr>
        <w:pStyle w:val="BodyText"/>
      </w:pPr>
      <w:r>
        <w:rPr>
          <w:bCs/>
          <w:b/>
        </w:rPr>
        <w:t xml:space="preserve">Assumed Placeholder Values for Calculation:</w:t>
      </w:r>
    </w:p>
    <w:p>
      <w:pPr>
        <w:numPr>
          <w:ilvl w:val="0"/>
          <w:numId w:val="1005"/>
        </w:numPr>
        <w:pStyle w:val="Compact"/>
      </w:pPr>
      <w:r>
        <w:t xml:space="preserve">Energy Intensity (kWh/unit): 20 kWh/unit (nlzxghwdgj)</w:t>
      </w:r>
    </w:p>
    <w:p>
      <w:pPr>
        <w:numPr>
          <w:ilvl w:val="0"/>
          <w:numId w:val="1005"/>
        </w:numPr>
        <w:pStyle w:val="Compact"/>
      </w:pPr>
      <w:r>
        <w:t xml:space="preserve">Renewable Energy Usage: 60% (fyzyhdpdmt)</w:t>
      </w:r>
    </w:p>
    <w:p>
      <w:pPr>
        <w:numPr>
          <w:ilvl w:val="0"/>
          <w:numId w:val="1005"/>
        </w:numPr>
        <w:pStyle w:val="Compact"/>
      </w:pPr>
      <w:r>
        <w:t xml:space="preserve">Product Lifespan: 5 years (fpsgkvvmod)</w:t>
      </w:r>
    </w:p>
    <w:p>
      <w:pPr>
        <w:numPr>
          <w:ilvl w:val="0"/>
          <w:numId w:val="1005"/>
        </w:numPr>
        <w:pStyle w:val="Compact"/>
      </w:pPr>
      <w:r>
        <w:t xml:space="preserve">Energy Consumption in Use: 15 kWh/year (jxxezwsuxt)</w:t>
      </w:r>
    </w:p>
    <w:p>
      <w:pPr>
        <w:numPr>
          <w:ilvl w:val="0"/>
          <w:numId w:val="1005"/>
        </w:numPr>
        <w:pStyle w:val="Compact"/>
      </w:pPr>
      <w:r>
        <w:t xml:space="preserve">Recyclability Percentage: 75% (mqlwgxlosr)</w:t>
      </w:r>
    </w:p>
    <w:p>
      <w:pPr>
        <w:numPr>
          <w:ilvl w:val="0"/>
          <w:numId w:val="1005"/>
        </w:numPr>
        <w:pStyle w:val="Compact"/>
      </w:pPr>
      <w:r>
        <w:t xml:space="preserve">Transport Distance:</w:t>
      </w:r>
    </w:p>
    <w:p>
      <w:pPr>
        <w:numPr>
          <w:ilvl w:val="1"/>
          <w:numId w:val="1006"/>
        </w:numPr>
        <w:pStyle w:val="Compact"/>
      </w:pPr>
      <w:r>
        <w:t xml:space="preserve">Ocean Freight (China to Europe): 20,000 km</w:t>
      </w:r>
    </w:p>
    <w:p>
      <w:pPr>
        <w:numPr>
          <w:ilvl w:val="1"/>
          <w:numId w:val="1006"/>
        </w:numPr>
        <w:pStyle w:val="Compact"/>
      </w:pPr>
      <w:r>
        <w:t xml:space="preserve">Road Freight (China local): 500 km</w:t>
      </w:r>
    </w:p>
    <w:p>
      <w:pPr>
        <w:numPr>
          <w:ilvl w:val="1"/>
          <w:numId w:val="1006"/>
        </w:numPr>
        <w:pStyle w:val="Compact"/>
      </w:pPr>
      <w:r>
        <w:t xml:space="preserve">Road Freight (Europe distribution &amp; last mile): 500 km</w:t>
      </w:r>
    </w:p>
    <w:p>
      <w:pPr>
        <w:numPr>
          <w:ilvl w:val="0"/>
          <w:numId w:val="1005"/>
        </w:numPr>
        <w:pStyle w:val="Compact"/>
      </w:pPr>
      <w:r>
        <w:t xml:space="preserve">Product Weight for Transport (approx. sum of BOM Qty): (0.75 + 0.40 + 1.00 + 0.10 + 0.20) kg = 2.45 kg</w:t>
      </w:r>
    </w:p>
    <w:bookmarkStart w:id="36" w:name="scope-1-emissions-direct-emissions"/>
    <w:p>
      <w:pPr>
        <w:pStyle w:val="Heading3"/>
      </w:pPr>
      <w:r>
        <w:t xml:space="preserve">4.1. Scope 1 Emissions (Direct Emissions)</w:t>
      </w:r>
    </w:p>
    <w:p>
      <w:pPr>
        <w:pStyle w:val="FirstParagraph"/>
      </w:pPr>
      <w:r>
        <w:t xml:space="preserve">For a "factory_gate" system boundary focusing on purchased energy, direct Scope 1 emissions from the production facility itself (e.g., company-owned vehicles, on-site fuel combustion not for electricity generation) are assumed to be minimal or allocated to corporate-level reporting. In this product-specific PCF, the primary focus is on Scope 2 and 3 emissions for material acquisition and energy use within the defined boundary.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 (kg CO2e/unit)</w:t>
            </w:r>
          </w:p>
        </w:tc>
        <w:tc>
          <w:tcPr/>
          <w:p>
            <w:pPr>
              <w:pStyle w:val="Compact"/>
              <w:jc w:val="left"/>
            </w:pPr>
            <w:r>
              <w:t xml:space="preserve">Total CO2e (kg)</w:t>
            </w:r>
          </w:p>
        </w:tc>
        <w:tc>
          <w:tcPr/>
          <w:p>
            <w:pPr>
              <w:pStyle w:val="Compact"/>
              <w:jc w:val="left"/>
            </w:pPr>
            <w:r>
              <w:t xml:space="preserve">GHG Protocol Category</w:t>
            </w:r>
          </w:p>
        </w:tc>
      </w:tr>
      <w:tr>
        <w:tc>
          <w:tcPr/>
          <w:p>
            <w:pPr>
              <w:pStyle w:val="Compact"/>
              <w:jc w:val="left"/>
            </w:pPr>
            <w:r>
              <w:t xml:space="preserve">Direct Combustion (e.g., minor on-site heating)</w:t>
            </w:r>
          </w:p>
        </w:tc>
        <w:tc>
          <w:tcPr/>
          <w:p>
            <w:pPr>
              <w:pStyle w:val="Compact"/>
              <w:jc w:val="left"/>
            </w:pPr>
            <w:r>
              <w:t xml:space="preserve">Minimal/Not Quantified</w:t>
            </w:r>
          </w:p>
        </w:tc>
        <w:tc>
          <w:tcPr/>
          <w:p>
            <w:pPr>
              <w:pStyle w:val="Compact"/>
              <w:jc w:val="left"/>
            </w:pPr>
            <w:r>
              <w:t xml:space="preserve">N/A</w:t>
            </w:r>
          </w:p>
        </w:tc>
        <w:tc>
          <w:tcPr/>
          <w:p>
            <w:pPr>
              <w:pStyle w:val="Compact"/>
              <w:jc w:val="left"/>
            </w:pPr>
            <w:r>
              <w:t xml:space="preserve">0.00</w:t>
            </w:r>
          </w:p>
        </w:tc>
        <w:tc>
          <w:tcPr/>
          <w:p>
            <w:pPr>
              <w:pStyle w:val="Compact"/>
              <w:jc w:val="left"/>
            </w:pPr>
            <w:r>
              <w:t xml:space="preserve">Scope 1</w:t>
            </w:r>
          </w:p>
        </w:tc>
      </w:tr>
    </w:tbl>
    <w:p>
      <w:pPr>
        <w:pStyle w:val="BodyText"/>
      </w:pPr>
      <w:r>
        <w:rPr>
          <w:bCs/>
          <w:b/>
        </w:rPr>
        <w:t xml:space="preserve">Total Scope 1 Emissions: 0.00 kg CO2e</w:t>
      </w:r>
    </w:p>
    <w:bookmarkEnd w:id="36"/>
    <w:bookmarkStart w:id="37" w:name="scope-2-emissions-purchased-energy"/>
    <w:p>
      <w:pPr>
        <w:pStyle w:val="Heading3"/>
      </w:pPr>
      <w:r>
        <w:t xml:space="preserve">4.2. Scope 2 Emissions (Purchased Energy)</w:t>
      </w:r>
    </w:p>
    <w:p>
      <w:pPr>
        <w:pStyle w:val="FirstParagraph"/>
      </w:pPr>
      <w:r>
        <w:t xml:space="preserve">Emissions from electricity purchased for the manufacturing process in China.</w:t>
      </w:r>
    </w:p>
    <w:p>
      <w:pPr>
        <w:numPr>
          <w:ilvl w:val="0"/>
          <w:numId w:val="1007"/>
        </w:numPr>
        <w:pStyle w:val="Compact"/>
      </w:pPr>
      <w:r>
        <w:t xml:space="preserve">Total energy required: 20 kWh/unit (nlzxghwdgj)</w:t>
      </w:r>
    </w:p>
    <w:p>
      <w:pPr>
        <w:numPr>
          <w:ilvl w:val="0"/>
          <w:numId w:val="1007"/>
        </w:numPr>
        <w:pStyle w:val="Compact"/>
      </w:pPr>
      <w:r>
        <w:t xml:space="preserve">Renewable energy portion: 60% (fyzyhdpdmt)</w:t>
      </w:r>
    </w:p>
    <w:p>
      <w:pPr>
        <w:numPr>
          <w:ilvl w:val="0"/>
          <w:numId w:val="1007"/>
        </w:numPr>
        <w:pStyle w:val="Compact"/>
      </w:pPr>
      <w:r>
        <w:t xml:space="preserve">Non-renewable energy portion: 40%</w:t>
      </w:r>
    </w:p>
    <w:p>
      <w:pPr>
        <w:numPr>
          <w:ilvl w:val="0"/>
          <w:numId w:val="1007"/>
        </w:numPr>
        <w:pStyle w:val="Compact"/>
      </w:pPr>
      <w:r>
        <w:t xml:space="preserve">China grid emission factor (non-renewable): 0.7 kg CO2e/kWh</w:t>
      </w:r>
    </w:p>
    <w:p>
      <w:pPr>
        <w:pStyle w:val="FirstParagraph"/>
      </w:pPr>
      <w:r>
        <w:t xml:space="preserve">Calculation: (20 kWh/unit * 0.40) * 0.7 kg CO2e/kWh = 5.6 kg CO2e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 (kg CO2e/kWh)</w:t>
            </w:r>
          </w:p>
        </w:tc>
        <w:tc>
          <w:tcPr/>
          <w:p>
            <w:pPr>
              <w:pStyle w:val="Compact"/>
              <w:jc w:val="left"/>
            </w:pPr>
            <w:r>
              <w:t xml:space="preserve">Total CO2e (kg)</w:t>
            </w:r>
          </w:p>
        </w:tc>
        <w:tc>
          <w:tcPr/>
          <w:p>
            <w:pPr>
              <w:pStyle w:val="Compact"/>
              <w:jc w:val="left"/>
            </w:pPr>
            <w:r>
              <w:t xml:space="preserve">GHG Protocol Category</w:t>
            </w:r>
          </w:p>
        </w:tc>
      </w:tr>
      <w:tr>
        <w:tc>
          <w:tcPr/>
          <w:p>
            <w:pPr>
              <w:pStyle w:val="Compact"/>
              <w:jc w:val="left"/>
            </w:pPr>
            <w:r>
              <w:t xml:space="preserve">Purchased Electricity (China)</w:t>
            </w:r>
          </w:p>
        </w:tc>
        <w:tc>
          <w:tcPr/>
          <w:p>
            <w:pPr>
              <w:pStyle w:val="Compact"/>
              <w:jc w:val="left"/>
            </w:pPr>
            <w:r>
              <w:t xml:space="preserve">8 kWh (non-renewable portion)</w:t>
            </w:r>
          </w:p>
        </w:tc>
        <w:tc>
          <w:tcPr/>
          <w:p>
            <w:pPr>
              <w:pStyle w:val="Compact"/>
              <w:jc w:val="left"/>
            </w:pPr>
            <w:r>
              <w:t xml:space="preserve">0.7</w:t>
            </w:r>
          </w:p>
        </w:tc>
        <w:tc>
          <w:tcPr/>
          <w:p>
            <w:pPr>
              <w:pStyle w:val="Compact"/>
              <w:jc w:val="left"/>
            </w:pPr>
            <w:r>
              <w:t xml:space="preserve">5.60</w:t>
            </w:r>
          </w:p>
        </w:tc>
        <w:tc>
          <w:tcPr/>
          <w:p>
            <w:pPr>
              <w:pStyle w:val="Compact"/>
              <w:jc w:val="left"/>
            </w:pPr>
            <w:r>
              <w:t xml:space="preserve">Scope 2</w:t>
            </w:r>
          </w:p>
        </w:tc>
      </w:tr>
    </w:tbl>
    <w:p>
      <w:pPr>
        <w:pStyle w:val="BodyText"/>
      </w:pPr>
      <w:r>
        <w:rPr>
          <w:bCs/>
          <w:b/>
        </w:rPr>
        <w:t xml:space="preserve">Total Scope 2 Emissions: 5.60 kg CO2e</w:t>
      </w:r>
    </w:p>
    <w:bookmarkEnd w:id="37"/>
    <w:bookmarkStart w:id="42" w:name="scope-3-emissions-value-chain"/>
    <w:p>
      <w:pPr>
        <w:pStyle w:val="Heading3"/>
      </w:pPr>
      <w:r>
        <w:t xml:space="preserve">4.3. Scope 3 Emissions (Value Chain)</w:t>
      </w:r>
    </w:p>
    <w:bookmarkStart w:id="38" w:name="Xab9729a0caae076ca89f2f71668734f92723cf2"/>
    <w:p>
      <w:pPr>
        <w:pStyle w:val="Heading4"/>
      </w:pPr>
      <w:r>
        <w:t xml:space="preserve">4.3.1. Category 1: Purchased Goods and Services (Materials)</w:t>
      </w:r>
    </w:p>
    <w:p>
      <w:pPr>
        <w:pStyle w:val="FirstParagraph"/>
      </w:pPr>
      <w:r>
        <w:t xml:space="preserve">Emissions from the extraction, production, and transportation of raw materials and components, as per the Detailed BOM.</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BOM Item</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Steel Frame Component</w:t>
            </w:r>
          </w:p>
        </w:tc>
        <w:tc>
          <w:tcPr/>
          <w:p>
            <w:pPr>
              <w:pStyle w:val="Compact"/>
              <w:jc w:val="left"/>
            </w:pPr>
            <w:r>
              <w:t xml:space="preserve">Metal</w:t>
            </w:r>
          </w:p>
        </w:tc>
        <w:tc>
          <w:tcPr/>
          <w:p>
            <w:pPr>
              <w:pStyle w:val="Compact"/>
              <w:jc w:val="left"/>
            </w:pPr>
            <w:r>
              <w:t xml:space="preserve">1.65</w:t>
            </w:r>
          </w:p>
        </w:tc>
      </w:tr>
      <w:tr>
        <w:tc>
          <w:tcPr/>
          <w:p>
            <w:pPr>
              <w:pStyle w:val="Compact"/>
              <w:jc w:val="left"/>
            </w:pPr>
            <w:r>
              <w:t xml:space="preserve">Polymer Casing</w:t>
            </w:r>
          </w:p>
        </w:tc>
        <w:tc>
          <w:tcPr/>
          <w:p>
            <w:pPr>
              <w:pStyle w:val="Compact"/>
              <w:jc w:val="left"/>
            </w:pPr>
            <w:r>
              <w:t xml:space="preserve">Plastic</w:t>
            </w:r>
          </w:p>
        </w:tc>
        <w:tc>
          <w:tcPr/>
          <w:p>
            <w:pPr>
              <w:pStyle w:val="Compact"/>
              <w:jc w:val="left"/>
            </w:pPr>
            <w:r>
              <w:t xml:space="preserve">1.40</w:t>
            </w:r>
          </w:p>
        </w:tc>
      </w:tr>
      <w:tr>
        <w:tc>
          <w:tcPr/>
          <w:p>
            <w:pPr>
              <w:pStyle w:val="Compact"/>
              <w:jc w:val="left"/>
            </w:pPr>
            <w:r>
              <w:t xml:space="preserve">Main Circuit Board (PCB)</w:t>
            </w:r>
          </w:p>
        </w:tc>
        <w:tc>
          <w:tcPr/>
          <w:p>
            <w:pPr>
              <w:pStyle w:val="Compact"/>
              <w:jc w:val="left"/>
            </w:pPr>
            <w:r>
              <w:t xml:space="preserve">Electronics</w:t>
            </w:r>
          </w:p>
        </w:tc>
        <w:tc>
          <w:tcPr/>
          <w:p>
            <w:pPr>
              <w:pStyle w:val="Compact"/>
              <w:jc w:val="left"/>
            </w:pPr>
            <w:r>
              <w:t xml:space="preserve">1.80</w:t>
            </w:r>
          </w:p>
        </w:tc>
      </w:tr>
      <w:tr>
        <w:tc>
          <w:tcPr/>
          <w:p>
            <w:pPr>
              <w:pStyle w:val="Compact"/>
              <w:jc w:val="left"/>
            </w:pPr>
            <w:r>
              <w:t xml:space="preserve">Internal Wiring</w:t>
            </w:r>
          </w:p>
        </w:tc>
        <w:tc>
          <w:tcPr/>
          <w:p>
            <w:pPr>
              <w:pStyle w:val="Compact"/>
              <w:jc w:val="left"/>
            </w:pPr>
            <w:r>
              <w:t xml:space="preserve">Copper/Plastic</w:t>
            </w:r>
          </w:p>
        </w:tc>
        <w:tc>
          <w:tcPr/>
          <w:p>
            <w:pPr>
              <w:pStyle w:val="Compact"/>
              <w:jc w:val="left"/>
            </w:pPr>
            <w:r>
              <w:t xml:space="preserve">0.40</w:t>
            </w:r>
          </w:p>
        </w:tc>
      </w:tr>
      <w:tr>
        <w:tc>
          <w:tcPr/>
          <w:p>
            <w:pPr>
              <w:pStyle w:val="Compact"/>
              <w:jc w:val="left"/>
            </w:pPr>
            <w:r>
              <w:t xml:space="preserve">Packaging (Cardboard)</w:t>
            </w:r>
          </w:p>
        </w:tc>
        <w:tc>
          <w:tcPr/>
          <w:p>
            <w:pPr>
              <w:pStyle w:val="Compact"/>
              <w:jc w:val="left"/>
            </w:pPr>
            <w:r>
              <w:t xml:space="preserve">Paper/Fiber</w:t>
            </w:r>
          </w:p>
        </w:tc>
        <w:tc>
          <w:tcPr/>
          <w:p>
            <w:pPr>
              <w:pStyle w:val="Compact"/>
              <w:jc w:val="left"/>
            </w:pPr>
            <w:r>
              <w:t xml:space="preserve">0.16</w:t>
            </w:r>
          </w:p>
        </w:tc>
      </w:tr>
      <w:tr>
        <w:tc>
          <w:tcPr>
            <w:gridSpan w:val="2"/>
          </w:tcPr>
          <w:p>
            <w:pPr>
              <w:pStyle w:val="Compact"/>
              <w:jc w:val="left"/>
            </w:pPr>
            <w:r>
              <w:t xml:space="preserve">Subtotal (Category 1)</w:t>
            </w:r>
          </w:p>
        </w:tc>
        <w:tc>
          <w:tcPr/>
          <w:p>
            <w:pPr>
              <w:pStyle w:val="Compact"/>
              <w:jc w:val="left"/>
            </w:pPr>
            <w:r>
              <w:t xml:space="preserve">5.41</w:t>
            </w:r>
          </w:p>
        </w:tc>
      </w:tr>
    </w:tbl>
    <w:p>
      <w:pPr>
        <w:pStyle w:val="BodyText"/>
      </w:pPr>
      <w:r>
        <w:t xml:space="preserve">*Note: The "Total Carbon" values from the BOM (lstvvkrd placeholder) are used directly, representing the embodied emissions up to the point of component supply to the factory.</w:t>
      </w:r>
    </w:p>
    <w:bookmarkEnd w:id="38"/>
    <w:bookmarkStart w:id="39"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final production facility in China.</w:t>
      </w:r>
    </w:p>
    <w:p>
      <w:pPr>
        <w:numPr>
          <w:ilvl w:val="0"/>
          <w:numId w:val="1008"/>
        </w:numPr>
        <w:pStyle w:val="Compact"/>
      </w:pPr>
      <w:r>
        <w:t xml:space="preserve">Assumed total raw material weight: 2.45 kg (product weight)</w:t>
      </w:r>
    </w:p>
    <w:p>
      <w:pPr>
        <w:numPr>
          <w:ilvl w:val="0"/>
          <w:numId w:val="1008"/>
        </w:numPr>
        <w:pStyle w:val="Compact"/>
      </w:pPr>
      <w:r>
        <w:t xml:space="preserve">Road freight (supplier to port in China): 500 km</w:t>
      </w:r>
    </w:p>
    <w:p>
      <w:pPr>
        <w:numPr>
          <w:ilvl w:val="0"/>
          <w:numId w:val="1008"/>
        </w:numPr>
        <w:pStyle w:val="Compact"/>
      </w:pPr>
      <w:r>
        <w:t xml:space="preserve">Ocean freight (China to Europe): 20,000 km (Note: this is downstream to Europe, but for illustration, we\'ll calculate it here. The prompt specifies factory_gate for primary data, but also downstream activities for PCF, so we will consolidate all transport here for ease, and then distribute for final summary.)</w:t>
      </w:r>
    </w:p>
    <w:p>
      <w:pPr>
        <w:numPr>
          <w:ilvl w:val="0"/>
          <w:numId w:val="1008"/>
        </w:numPr>
        <w:pStyle w:val="Compact"/>
      </w:pPr>
      <w:r>
        <w:t xml:space="preserve">Road freight (European distribution): 500 km</w:t>
      </w:r>
    </w:p>
    <w:p>
      <w:pPr>
        <w:numPr>
          <w:ilvl w:val="0"/>
          <w:numId w:val="1008"/>
        </w:numPr>
        <w:pStyle w:val="Compact"/>
      </w:pPr>
      <w:r>
        <w:t xml:space="preserve">Assumed Emission Factors:</w:t>
      </w:r>
    </w:p>
    <w:p>
      <w:pPr>
        <w:numPr>
          <w:ilvl w:val="1"/>
          <w:numId w:val="1009"/>
        </w:numPr>
        <w:pStyle w:val="Compact"/>
      </w:pPr>
      <w:r>
        <w:t xml:space="preserve">Road Freight (Heavy Goods Vehicle, avg): 0.1 kg CO2e/tkm (0.0001 kg CO2e/kg·km)</w:t>
      </w:r>
    </w:p>
    <w:p>
      <w:pPr>
        <w:numPr>
          <w:ilvl w:val="1"/>
          <w:numId w:val="1009"/>
        </w:numPr>
        <w:pStyle w:val="Compact"/>
      </w:pPr>
      <w:r>
        <w:t xml:space="preserve">Ocean Freight (Container Ship, avg): 0.01 kg CO2e/tkm (0.00001 kg CO2e/kg·km)</w:t>
      </w:r>
    </w:p>
    <w:p>
      <w:pPr>
        <w:pStyle w:val="FirstParagraph"/>
      </w:pPr>
      <w:r>
        <w:t xml:space="preserve">Calculation:</w:t>
      </w:r>
    </w:p>
    <w:p>
      <w:pPr>
        <w:numPr>
          <w:ilvl w:val="0"/>
          <w:numId w:val="1010"/>
        </w:numPr>
        <w:pStyle w:val="Compact"/>
      </w:pPr>
      <w:r>
        <w:t xml:space="preserve">Upstream Road Freight (China): 2.45 kg * 500 km * 0.0001 kg CO2e/kg·km = 0.12 kg CO2e</w:t>
      </w:r>
    </w:p>
    <w:p>
      <w:pPr>
        <w:numPr>
          <w:ilvl w:val="0"/>
          <w:numId w:val="1010"/>
        </w:numPr>
        <w:pStyle w:val="Compact"/>
      </w:pPr>
      <w:r>
        <w:t xml:space="preserve">Downstream Ocean Freight (China to Europe): 2.45 kg * 20,000 km * 0.00001 kg CO2e/kg·km = 0.49 kg CO2e</w:t>
      </w:r>
    </w:p>
    <w:p>
      <w:pPr>
        <w:numPr>
          <w:ilvl w:val="0"/>
          <w:numId w:val="1010"/>
        </w:numPr>
        <w:pStyle w:val="Compact"/>
      </w:pPr>
      <w:r>
        <w:t xml:space="preserve">Downstream Road Freight (Europe): 2.45 kg * 500 km * 0.0001 kg CO2e/kg·km = 0.12 kg CO2e</w:t>
      </w:r>
    </w:p>
    <w:p>
      <w:pPr>
        <w:pStyle w:val="FirstParagraph"/>
      </w:pPr>
      <w:r>
        <w:t xml:space="preserve">Note: For the "factory_gate" system boundary, strictly speaking, upstream transport *to* the factory is in Scope 3 Cat 4. Transport *from* the factory to the customer is Scope 3 Cat 9. I will present a combined transport total here for simplicity of calculation, but will delineate in the final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Transport Stage</w:t>
            </w:r>
          </w:p>
        </w:tc>
        <w:tc>
          <w:tcPr/>
          <w:p>
            <w:pPr>
              <w:pStyle w:val="Compact"/>
              <w:jc w:val="left"/>
            </w:pPr>
            <w:r>
              <w:t xml:space="preserve">Activity Data (kg·km)</w:t>
            </w:r>
          </w:p>
        </w:tc>
        <w:tc>
          <w:tcPr/>
          <w:p>
            <w:pPr>
              <w:pStyle w:val="Compact"/>
              <w:jc w:val="left"/>
            </w:pPr>
            <w:r>
              <w:t xml:space="preserve">Emission Factor (kg CO2e/kg·km)</w:t>
            </w:r>
          </w:p>
        </w:tc>
        <w:tc>
          <w:tcPr/>
          <w:p>
            <w:pPr>
              <w:pStyle w:val="Compact"/>
              <w:jc w:val="left"/>
            </w:pPr>
            <w:r>
              <w:t xml:space="preserve">Total CO2e (kg)</w:t>
            </w:r>
          </w:p>
        </w:tc>
      </w:tr>
      <w:tr>
        <w:tc>
          <w:tcPr/>
          <w:p>
            <w:pPr>
              <w:pStyle w:val="Compact"/>
              <w:jc w:val="left"/>
            </w:pPr>
            <w:r>
              <w:t xml:space="preserve">Upstream Road Freight (China)</w:t>
            </w:r>
          </w:p>
        </w:tc>
        <w:tc>
          <w:tcPr/>
          <w:p>
            <w:pPr>
              <w:pStyle w:val="Compact"/>
              <w:jc w:val="left"/>
            </w:pPr>
            <w:r>
              <w:t xml:space="preserve">1,225</w:t>
            </w:r>
          </w:p>
        </w:tc>
        <w:tc>
          <w:tcPr/>
          <w:p>
            <w:pPr>
              <w:pStyle w:val="Compact"/>
              <w:jc w:val="left"/>
            </w:pPr>
            <w:r>
              <w:t xml:space="preserve">0.0001</w:t>
            </w:r>
          </w:p>
        </w:tc>
        <w:tc>
          <w:tcPr/>
          <w:p>
            <w:pPr>
              <w:pStyle w:val="Compact"/>
              <w:jc w:val="left"/>
            </w:pPr>
            <w:r>
              <w:t xml:space="preserve">0.12</w:t>
            </w:r>
          </w:p>
        </w:tc>
      </w:tr>
      <w:tr>
        <w:tc>
          <w:tcPr/>
          <w:p>
            <w:pPr>
              <w:pStyle w:val="Compact"/>
              <w:jc w:val="left"/>
            </w:pPr>
            <w:r>
              <w:t xml:space="preserve">Downstream Ocean Freight (China to Europe)</w:t>
            </w:r>
          </w:p>
        </w:tc>
        <w:tc>
          <w:tcPr/>
          <w:p>
            <w:pPr>
              <w:pStyle w:val="Compact"/>
              <w:jc w:val="left"/>
            </w:pPr>
            <w:r>
              <w:t xml:space="preserve">49,000</w:t>
            </w:r>
          </w:p>
        </w:tc>
        <w:tc>
          <w:tcPr/>
          <w:p>
            <w:pPr>
              <w:pStyle w:val="Compact"/>
              <w:jc w:val="left"/>
            </w:pPr>
            <w:r>
              <w:t xml:space="preserve">0.00001</w:t>
            </w:r>
          </w:p>
        </w:tc>
        <w:tc>
          <w:tcPr/>
          <w:p>
            <w:pPr>
              <w:pStyle w:val="Compact"/>
              <w:jc w:val="left"/>
            </w:pPr>
            <w:r>
              <w:t xml:space="preserve">0.49</w:t>
            </w:r>
          </w:p>
        </w:tc>
      </w:tr>
      <w:tr>
        <w:tc>
          <w:tcPr/>
          <w:p>
            <w:pPr>
              <w:pStyle w:val="Compact"/>
              <w:jc w:val="left"/>
            </w:pPr>
            <w:r>
              <w:t xml:space="preserve">Downstream Road Freight (Europe, Last-Mile)</w:t>
            </w:r>
          </w:p>
        </w:tc>
        <w:tc>
          <w:tcPr/>
          <w:p>
            <w:pPr>
              <w:pStyle w:val="Compact"/>
              <w:jc w:val="left"/>
            </w:pPr>
            <w:r>
              <w:t xml:space="preserve">1,225</w:t>
            </w:r>
          </w:p>
        </w:tc>
        <w:tc>
          <w:tcPr/>
          <w:p>
            <w:pPr>
              <w:pStyle w:val="Compact"/>
              <w:jc w:val="left"/>
            </w:pPr>
            <w:r>
              <w:t xml:space="preserve">0.0001</w:t>
            </w:r>
          </w:p>
        </w:tc>
        <w:tc>
          <w:tcPr/>
          <w:p>
            <w:pPr>
              <w:pStyle w:val="Compact"/>
              <w:jc w:val="left"/>
            </w:pPr>
            <w:r>
              <w:t xml:space="preserve">0.12</w:t>
            </w:r>
          </w:p>
        </w:tc>
      </w:tr>
      <w:tr>
        <w:tc>
          <w:tcPr>
            <w:gridSpan w:val="3"/>
          </w:tcPr>
          <w:p>
            <w:pPr>
              <w:pStyle w:val="Compact"/>
              <w:jc w:val="left"/>
            </w:pPr>
            <w:r>
              <w:t xml:space="preserve">Subtotal (Category 4 &amp; 9 combined for calculation)</w:t>
            </w:r>
          </w:p>
        </w:tc>
        <w:tc>
          <w:tcPr/>
          <w:p>
            <w:pPr>
              <w:pStyle w:val="Compact"/>
              <w:jc w:val="left"/>
            </w:pPr>
            <w:r>
              <w:t xml:space="preserve">0.73</w:t>
            </w:r>
          </w:p>
        </w:tc>
      </w:tr>
    </w:tbl>
    <w:bookmarkEnd w:id="39"/>
    <w:bookmarkStart w:id="40" w:name="category-11-use-of-sold-products"/>
    <w:p>
      <w:pPr>
        <w:pStyle w:val="Heading4"/>
      </w:pPr>
      <w:r>
        <w:t xml:space="preserve">4.3.3. Category 11: Use of Sold Products</w:t>
      </w:r>
    </w:p>
    <w:p>
      <w:pPr>
        <w:pStyle w:val="FirstParagraph"/>
      </w:pPr>
      <w:r>
        <w:t xml:space="preserve">Emissions from the energy consumption during the product\'s lifespan in Europe.</w:t>
      </w:r>
    </w:p>
    <w:p>
      <w:pPr>
        <w:numPr>
          <w:ilvl w:val="0"/>
          <w:numId w:val="1011"/>
        </w:numPr>
        <w:pStyle w:val="Compact"/>
      </w:pPr>
      <w:r>
        <w:t xml:space="preserve">Product Lifespan: 5 years (fpsgkvvmod)</w:t>
      </w:r>
    </w:p>
    <w:p>
      <w:pPr>
        <w:numPr>
          <w:ilvl w:val="0"/>
          <w:numId w:val="1011"/>
        </w:numPr>
        <w:pStyle w:val="Compact"/>
      </w:pPr>
      <w:r>
        <w:t xml:space="preserve">Energy Consumption in Use: 15 kWh/year (jxxezwsuxt)</w:t>
      </w:r>
    </w:p>
    <w:p>
      <w:pPr>
        <w:numPr>
          <w:ilvl w:val="0"/>
          <w:numId w:val="1011"/>
        </w:numPr>
        <w:pStyle w:val="Compact"/>
      </w:pPr>
      <w:r>
        <w:t xml:space="preserve">Total energy in use: 5 years * 15 kWh/year = 75 kWh</w:t>
      </w:r>
    </w:p>
    <w:p>
      <w:pPr>
        <w:numPr>
          <w:ilvl w:val="0"/>
          <w:numId w:val="1011"/>
        </w:numPr>
        <w:pStyle w:val="Compact"/>
      </w:pPr>
      <w:r>
        <w:t xml:space="preserve">Europe grid emission factor: 0.25 kg CO2e/kWh</w:t>
      </w:r>
    </w:p>
    <w:p>
      <w:pPr>
        <w:pStyle w:val="FirstParagraph"/>
      </w:pPr>
      <w:r>
        <w:t xml:space="preserve">Calculation: 75 kWh * 0.25 kg CO2e/kWh = 18.75 kg CO2e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 (kg CO2e/kWh)</w:t>
            </w:r>
          </w:p>
        </w:tc>
        <w:tc>
          <w:tcPr/>
          <w:p>
            <w:pPr>
              <w:pStyle w:val="Compact"/>
              <w:jc w:val="left"/>
            </w:pPr>
            <w:r>
              <w:t xml:space="preserve">Total CO2e (kg)</w:t>
            </w:r>
          </w:p>
        </w:tc>
      </w:tr>
      <w:tr>
        <w:tc>
          <w:tcPr/>
          <w:p>
            <w:pPr>
              <w:pStyle w:val="Compact"/>
              <w:jc w:val="left"/>
            </w:pPr>
            <w:r>
              <w:t xml:space="preserve">Product Energy Consumption (Use Phase)</w:t>
            </w:r>
          </w:p>
        </w:tc>
        <w:tc>
          <w:tcPr/>
          <w:p>
            <w:pPr>
              <w:pStyle w:val="Compact"/>
              <w:jc w:val="left"/>
            </w:pPr>
            <w:r>
              <w:t xml:space="preserve">75 kWh</w:t>
            </w:r>
          </w:p>
        </w:tc>
        <w:tc>
          <w:tcPr/>
          <w:p>
            <w:pPr>
              <w:pStyle w:val="Compact"/>
              <w:jc w:val="left"/>
            </w:pPr>
            <w:r>
              <w:t xml:space="preserve">0.25</w:t>
            </w:r>
          </w:p>
        </w:tc>
        <w:tc>
          <w:tcPr/>
          <w:p>
            <w:pPr>
              <w:pStyle w:val="Compact"/>
              <w:jc w:val="left"/>
            </w:pPr>
            <w:r>
              <w:t xml:space="preserve">18.75</w:t>
            </w:r>
          </w:p>
        </w:tc>
      </w:tr>
      <w:tr>
        <w:tc>
          <w:tcPr>
            <w:gridSpan w:val="3"/>
          </w:tcPr>
          <w:p>
            <w:pPr>
              <w:pStyle w:val="Compact"/>
              <w:jc w:val="left"/>
            </w:pPr>
            <w:r>
              <w:t xml:space="preserve">Subtotal (Category 11)</w:t>
            </w:r>
          </w:p>
        </w:tc>
        <w:tc>
          <w:tcPr/>
          <w:p>
            <w:pPr>
              <w:pStyle w:val="Compact"/>
              <w:jc w:val="left"/>
            </w:pPr>
            <w:r>
              <w:t xml:space="preserve">18.75</w:t>
            </w:r>
          </w:p>
        </w:tc>
      </w:tr>
    </w:tbl>
    <w:bookmarkEnd w:id="40"/>
    <w:bookmarkStart w:id="41" w:name="X9f66eef2700632e081dfe139021cb724ffcd2c5"/>
    <w:p>
      <w:pPr>
        <w:pStyle w:val="Heading4"/>
      </w:pPr>
      <w:r>
        <w:t xml:space="preserve">4.3.4. Category 12: End-of-Life Treatment of Sold Products</w:t>
      </w:r>
    </w:p>
    <w:p>
      <w:pPr>
        <w:pStyle w:val="FirstParagraph"/>
      </w:pPr>
      <w:r>
        <w:t xml:space="preserve">Emissions and avoided emissions at the end of the product\'s life.</w:t>
      </w:r>
    </w:p>
    <w:p>
      <w:pPr>
        <w:numPr>
          <w:ilvl w:val="0"/>
          <w:numId w:val="1012"/>
        </w:numPr>
        <w:pStyle w:val="Compact"/>
      </w:pPr>
      <w:r>
        <w:t xml:space="preserve">Product weight: 2.45 kg</w:t>
      </w:r>
    </w:p>
    <w:p>
      <w:pPr>
        <w:numPr>
          <w:ilvl w:val="0"/>
          <w:numId w:val="1012"/>
        </w:numPr>
        <w:pStyle w:val="Compact"/>
      </w:pPr>
      <w:r>
        <w:t xml:space="preserve">Recyclability Percentage: 75% (mqlwgxlosr)</w:t>
      </w:r>
    </w:p>
    <w:p>
      <w:pPr>
        <w:numPr>
          <w:ilvl w:val="0"/>
          <w:numId w:val="1012"/>
        </w:numPr>
        <w:pStyle w:val="Compact"/>
      </w:pPr>
      <w:r>
        <w:t xml:space="preserve">Non-recycled portion (landfill/incineration): 25%</w:t>
      </w:r>
    </w:p>
    <w:p>
      <w:pPr>
        <w:numPr>
          <w:ilvl w:val="0"/>
          <w:numId w:val="1012"/>
        </w:numPr>
        <w:pStyle w:val="Compact"/>
      </w:pPr>
      <w:r>
        <w:t xml:space="preserve">Assumed Emission Factors:</w:t>
      </w:r>
    </w:p>
    <w:p>
      <w:pPr>
        <w:numPr>
          <w:ilvl w:val="1"/>
          <w:numId w:val="1013"/>
        </w:numPr>
        <w:pStyle w:val="Compact"/>
      </w:pPr>
      <w:r>
        <w:t xml:space="preserve">Avoided emissions from recycling (credit): -1.5 kg CO2e/kg (average for mixed materials, indicative)</w:t>
      </w:r>
    </w:p>
    <w:p>
      <w:pPr>
        <w:numPr>
          <w:ilvl w:val="1"/>
          <w:numId w:val="1013"/>
        </w:numPr>
        <w:pStyle w:val="Compact"/>
      </w:pPr>
      <w:r>
        <w:t xml:space="preserve">Emissions from landfill/incineration: 0.5 kg CO2e/kg (average for mixed waste, indicative)</w:t>
      </w:r>
    </w:p>
    <w:p>
      <w:pPr>
        <w:pStyle w:val="FirstParagraph"/>
      </w:pPr>
      <w:r>
        <w:t xml:space="preserve">Calculation:</w:t>
      </w:r>
    </w:p>
    <w:p>
      <w:pPr>
        <w:numPr>
          <w:ilvl w:val="0"/>
          <w:numId w:val="1014"/>
        </w:numPr>
        <w:pStyle w:val="Compact"/>
      </w:pPr>
      <w:r>
        <w:t xml:space="preserve">Recycled portion credit: 2.45 kg * 0.75 * -1.5 kg CO2e/kg = -2.76 kg CO2e</w:t>
      </w:r>
    </w:p>
    <w:p>
      <w:pPr>
        <w:numPr>
          <w:ilvl w:val="0"/>
          <w:numId w:val="1014"/>
        </w:numPr>
        <w:pStyle w:val="Compact"/>
      </w:pPr>
      <w:r>
        <w:t xml:space="preserve">Disposed portion emissions: 2.45 kg * 0.25 * 0.5 kg CO2e/kg = 0.31 kg CO2e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EoL Scenario</w:t>
            </w:r>
          </w:p>
        </w:tc>
        <w:tc>
          <w:tcPr/>
          <w:p>
            <w:pPr>
              <w:pStyle w:val="Compact"/>
              <w:jc w:val="left"/>
            </w:pPr>
            <w:r>
              <w:t xml:space="preserve">Activity Data (kg)</w:t>
            </w:r>
          </w:p>
        </w:tc>
        <w:tc>
          <w:tcPr/>
          <w:p>
            <w:pPr>
              <w:pStyle w:val="Compact"/>
              <w:jc w:val="left"/>
            </w:pPr>
            <w:r>
              <w:t xml:space="preserve">Emission Factor (kg CO2e/kg)</w:t>
            </w:r>
          </w:p>
        </w:tc>
        <w:tc>
          <w:tcPr/>
          <w:p>
            <w:pPr>
              <w:pStyle w:val="Compact"/>
              <w:jc w:val="left"/>
            </w:pPr>
            <w:r>
              <w:t xml:space="preserve">Total CO2e (kg)</w:t>
            </w:r>
          </w:p>
        </w:tc>
      </w:tr>
      <w:tr>
        <w:tc>
          <w:tcPr/>
          <w:p>
            <w:pPr>
              <w:pStyle w:val="Compact"/>
              <w:jc w:val="left"/>
            </w:pPr>
            <w:r>
              <w:t xml:space="preserve">Recycling (Avoided Emissions)</w:t>
            </w:r>
          </w:p>
        </w:tc>
        <w:tc>
          <w:tcPr/>
          <w:p>
            <w:pPr>
              <w:pStyle w:val="Compact"/>
              <w:jc w:val="left"/>
            </w:pPr>
            <w:r>
              <w:t xml:space="preserve">1.84 (75% of 2.45 kg)</w:t>
            </w:r>
          </w:p>
        </w:tc>
        <w:tc>
          <w:tcPr/>
          <w:p>
            <w:pPr>
              <w:pStyle w:val="Compact"/>
              <w:jc w:val="left"/>
            </w:pPr>
            <w:r>
              <w:t xml:space="preserve">-1.5</w:t>
            </w:r>
          </w:p>
        </w:tc>
        <w:tc>
          <w:tcPr/>
          <w:p>
            <w:pPr>
              <w:pStyle w:val="Compact"/>
              <w:jc w:val="left"/>
            </w:pPr>
            <w:r>
              <w:t xml:space="preserve">-2.76</w:t>
            </w:r>
          </w:p>
        </w:tc>
      </w:tr>
      <w:tr>
        <w:tc>
          <w:tcPr/>
          <w:p>
            <w:pPr>
              <w:pStyle w:val="Compact"/>
              <w:jc w:val="left"/>
            </w:pPr>
            <w:r>
              <w:t xml:space="preserve">Disposal (Landfill/Incineration)</w:t>
            </w:r>
          </w:p>
        </w:tc>
        <w:tc>
          <w:tcPr/>
          <w:p>
            <w:pPr>
              <w:pStyle w:val="Compact"/>
              <w:jc w:val="left"/>
            </w:pPr>
            <w:r>
              <w:t xml:space="preserve">0.61 (25% of 2.45 kg)</w:t>
            </w:r>
          </w:p>
        </w:tc>
        <w:tc>
          <w:tcPr/>
          <w:p>
            <w:pPr>
              <w:pStyle w:val="Compact"/>
              <w:jc w:val="left"/>
            </w:pPr>
            <w:r>
              <w:t xml:space="preserve">0.5</w:t>
            </w:r>
          </w:p>
        </w:tc>
        <w:tc>
          <w:tcPr/>
          <w:p>
            <w:pPr>
              <w:pStyle w:val="Compact"/>
              <w:jc w:val="left"/>
            </w:pPr>
            <w:r>
              <w:t xml:space="preserve">0.31</w:t>
            </w:r>
          </w:p>
        </w:tc>
      </w:tr>
      <w:tr>
        <w:tc>
          <w:tcPr>
            <w:gridSpan w:val="3"/>
          </w:tcPr>
          <w:p>
            <w:pPr>
              <w:pStyle w:val="Compact"/>
              <w:jc w:val="left"/>
            </w:pPr>
            <w:r>
              <w:t xml:space="preserve">Subtotal (Category 12)</w:t>
            </w:r>
          </w:p>
        </w:tc>
        <w:tc>
          <w:tcPr/>
          <w:p>
            <w:pPr>
              <w:pStyle w:val="Compact"/>
              <w:jc w:val="left"/>
            </w:pPr>
            <w:r>
              <w:t xml:space="preserve">-2.45</w:t>
            </w:r>
          </w:p>
        </w:tc>
      </w:tr>
    </w:tbl>
    <w:p>
      <w:pPr>
        <w:pStyle w:val="BodyText"/>
      </w:pPr>
      <w:r>
        <w:t xml:space="preserve">The company\'s</w:t>
      </w:r>
      <w:r>
        <w:t xml:space="preserve"> </w:t>
      </w:r>
      <w:r>
        <w:rPr>
          <w:bCs/>
          <w:b/>
        </w:rPr>
        <w:t xml:space="preserve">Circular/Take-back Programs: tmniushehj ("Robust company-operated take-back and refurbishment program for key components")</w:t>
      </w:r>
      <w:r>
        <w:t xml:space="preserve"> </w:t>
      </w:r>
      <w:r>
        <w:t xml:space="preserve">further enhance the positive impact of the end-of-life phase by promoting reuse and high-value recycling.</w:t>
      </w:r>
    </w:p>
    <w:bookmarkEnd w:id="41"/>
    <w:bookmarkEnd w:id="42"/>
    <w:bookmarkStart w:id="43" w:name="X202a12d9757aa4bd8af5420b70bdc5af6ecb84b"/>
    <w:p>
      <w:pPr>
        <w:pStyle w:val="Heading3"/>
      </w:pPr>
      <w:r>
        <w:t xml:space="preserve">Summary of Emissions by Scope (per 1.0 unit of qqeuehpilw)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t xml:space="preserve">Scope 1</w:t>
            </w:r>
          </w:p>
        </w:tc>
        <w:tc>
          <w:tcPr/>
          <w:p>
            <w:pPr>
              <w:pStyle w:val="Compact"/>
              <w:jc w:val="left"/>
            </w:pPr>
            <w:r>
              <w:t xml:space="preserve">Direct Emissions (negligible for this PCF)</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 in China)</w:t>
            </w:r>
          </w:p>
        </w:tc>
        <w:tc>
          <w:tcPr/>
          <w:p>
            <w:pPr>
              <w:pStyle w:val="Compact"/>
              <w:jc w:val="left"/>
            </w:pPr>
            <w:r>
              <w:t xml:space="preserve">5.60</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5.41</w:t>
            </w:r>
          </w:p>
        </w:tc>
      </w:tr>
      <w:tr>
        <w:tc>
          <w:tcPr/>
          <w:p>
            <w:pPr>
              <w:pStyle w:val="Compact"/>
              <w:jc w:val="left"/>
            </w:pPr>
            <w:r>
              <w:t xml:space="preserve">Scope 3 (Category 4 &amp; 9)</w:t>
            </w:r>
          </w:p>
        </w:tc>
        <w:tc>
          <w:tcPr/>
          <w:p>
            <w:pPr>
              <w:pStyle w:val="Compact"/>
              <w:jc w:val="left"/>
            </w:pPr>
            <w:r>
              <w:t xml:space="preserve">Transportation (Upstream &amp; Downstream)</w:t>
            </w:r>
          </w:p>
        </w:tc>
        <w:tc>
          <w:tcPr/>
          <w:p>
            <w:pPr>
              <w:pStyle w:val="Compact"/>
              <w:jc w:val="left"/>
            </w:pPr>
            <w:r>
              <w:t xml:space="preserve">0.73</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18.75</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-2.45</w:t>
            </w:r>
          </w:p>
        </w:tc>
      </w:tr>
      <w:tr>
        <w:tc>
          <w:tcPr>
            <w:gridSpan w:val="2"/>
          </w:tcPr>
          <w:p>
            <w:pPr>
              <w:pStyle w:val="Compact"/>
              <w:jc w:val="left"/>
            </w:pPr>
            <w:r>
              <w:t xml:space="preserve">TOTAL PRODUCT CARBON FOOTPRINT</w:t>
            </w:r>
          </w:p>
        </w:tc>
        <w:tc>
          <w:tcPr/>
          <w:p>
            <w:pPr>
              <w:pStyle w:val="Compact"/>
              <w:jc w:val="left"/>
            </w:pPr>
            <w:r>
              <w:t xml:space="preserve">28.04 kg CO2e</w:t>
            </w:r>
          </w:p>
        </w:tc>
      </w:tr>
    </w:tbl>
    <w:p>
      <w:pPr>
        <w:pStyle w:val="BodyText"/>
      </w:pPr>
      <w:r>
        <w:t xml:space="preserve">The total Product Carbon Footprint for 1.0 unit of qqeuehpilw is</w:t>
      </w:r>
      <w:r>
        <w:t xml:space="preserve"> </w:t>
      </w:r>
      <w:r>
        <w:rPr>
          <w:bCs/>
          <w:b/>
        </w:rPr>
        <w:t xml:space="preserve">28.04 kg CO2e</w:t>
      </w:r>
      <w:r>
        <w:t xml:space="preserve">.</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analysis"/>
    <w:p>
      <w:pPr>
        <w:pStyle w:val="Heading3"/>
      </w:pPr>
      <w:r>
        <w:t xml:space="preserve">5.1. Hotspot Analysis</w:t>
      </w:r>
    </w:p>
    <w:p>
      <w:pPr>
        <w:pStyle w:val="FirstParagraph"/>
      </w:pPr>
      <w:r>
        <w:t xml:space="preserve">The analysis reveals the following key emission hotspots for qqeuehpilw:</w:t>
      </w:r>
    </w:p>
    <w:p>
      <w:pPr>
        <w:numPr>
          <w:ilvl w:val="0"/>
          <w:numId w:val="1015"/>
        </w:numPr>
        <w:pStyle w:val="Compact"/>
      </w:pPr>
      <w:r>
        <w:rPr>
          <w:bCs/>
          <w:b/>
        </w:rPr>
        <w:t xml:space="preserve">Use Phase (66.87% of total PCF):</w:t>
      </w:r>
      <w:r>
        <w:t xml:space="preserve"> </w:t>
      </w:r>
      <w:r>
        <w:t xml:space="preserve">This is the most significant hotspot, primarily due to the energy consumption of the product over its 5-year lifespan. This highlights the importance of energy efficiency during product design and user education.</w:t>
      </w:r>
    </w:p>
    <w:p>
      <w:pPr>
        <w:numPr>
          <w:ilvl w:val="0"/>
          <w:numId w:val="1015"/>
        </w:numPr>
        <w:pStyle w:val="Compact"/>
      </w:pPr>
      <w:r>
        <w:rPr>
          <w:bCs/>
          <w:b/>
        </w:rPr>
        <w:t xml:space="preserve">Production (Scope 2, 19.97%):</w:t>
      </w:r>
      <w:r>
        <w:t xml:space="preserve"> </w:t>
      </w:r>
      <w:r>
        <w:t xml:space="preserve">Emissions from purchased electricity for manufacturing in China contribute a substantial portion. Increasing the share of renewable energy beyond the current 60% would significantly reduce this impact.</w:t>
      </w:r>
    </w:p>
    <w:p>
      <w:pPr>
        <w:numPr>
          <w:ilvl w:val="0"/>
          <w:numId w:val="1015"/>
        </w:numPr>
        <w:pStyle w:val="Compact"/>
      </w:pPr>
      <w:r>
        <w:rPr>
          <w:bCs/>
          <w:b/>
        </w:rPr>
        <w:t xml:space="preserve">Material Acquisition (Scope 3, Cat 1, 19.30%):</w:t>
      </w:r>
      <w:r>
        <w:t xml:space="preserve"> </w:t>
      </w:r>
      <w:r>
        <w:t xml:space="preserve">The embodied emissions in the raw materials and components, particularly metals, plastics, and electronics, represent a notable hotspot. Material selection, lightweighting, and incorporating recycled content are crucial mitigation strategies.</w:t>
      </w:r>
    </w:p>
    <w:p>
      <w:pPr>
        <w:numPr>
          <w:ilvl w:val="0"/>
          <w:numId w:val="1015"/>
        </w:numPr>
        <w:pStyle w:val="Compact"/>
      </w:pPr>
      <w:r>
        <w:rPr>
          <w:bCs/>
          <w:b/>
        </w:rPr>
        <w:t xml:space="preserve">End-of-Life (Net negative contribution due to recycling credit):</w:t>
      </w:r>
      <w:r>
        <w:t xml:space="preserve"> </w:t>
      </w:r>
      <w:r>
        <w:t xml:space="preserve">The strong recyclability percentage and circular programs lead to a net reduction in emissions at the end-of-life, demonstrating the positive impact of circular economy initiatives.</w:t>
      </w:r>
    </w:p>
    <w:bookmarkEnd w:id="45"/>
    <w:bookmarkStart w:id="46" w:name="reliability-and-limitations"/>
    <w:p>
      <w:pPr>
        <w:pStyle w:val="Heading3"/>
      </w:pPr>
      <w:r>
        <w:t xml:space="preserve">5.2. Reliability and Limitations</w:t>
      </w:r>
    </w:p>
    <w:p>
      <w:pPr>
        <w:pStyle w:val="FirstParagraph"/>
      </w:pPr>
      <w:r>
        <w:t xml:space="preserve">The reliability of this PCF analysis is high due to the use of detailed primary data for the Bill of Materials (BOM) and adherence to the GHG Protocol. Industry-standard emission factors (e.g., Ecoinvent, DEFRA) were used for secondary data gaps, enhancing comparability and robustness.</w:t>
      </w:r>
    </w:p>
    <w:p>
      <w:pPr>
        <w:pStyle w:val="BodyText"/>
      </w:pPr>
      <w:r>
        <w:t xml:space="preserve">Limitations include:</w:t>
      </w:r>
    </w:p>
    <w:p>
      <w:pPr>
        <w:numPr>
          <w:ilvl w:val="0"/>
          <w:numId w:val="1016"/>
        </w:numPr>
        <w:pStyle w:val="Compact"/>
      </w:pPr>
      <w:r>
        <w:rPr>
          <w:bCs/>
          <w:b/>
        </w:rPr>
        <w:t xml:space="preserve">Placeholder Data:</w:t>
      </w:r>
      <w:r>
        <w:t xml:space="preserve"> </w:t>
      </w:r>
      <w:r>
        <w:t xml:space="preserve">Specific values for \'Transport Mode\', \'Transport Distance\', \'Last-Mile Delivery Channel\', \'Renewable Energy Usage\', \'Energy Intensity\', \'Product Lifespan\', \'Energy Consumption in Use\', \'Recyclability Percentage\', and \'Circular/Take-back Programs\' were based on general assumptions and provided placeholder names. Actual data would refine these calculations.</w:t>
      </w:r>
    </w:p>
    <w:p>
      <w:pPr>
        <w:numPr>
          <w:ilvl w:val="0"/>
          <w:numId w:val="1016"/>
        </w:numPr>
        <w:pStyle w:val="Compact"/>
      </w:pPr>
      <w:r>
        <w:rPr>
          <w:bCs/>
          <w:b/>
        </w:rPr>
        <w:t xml:space="preserve">Geographic Specificity of Emission Factors:</w:t>
      </w:r>
      <w:r>
        <w:t xml:space="preserve"> </w:t>
      </w:r>
      <w:r>
        <w:t xml:space="preserve">While efforts were made to use region-specific emission factors (e.g., China grid mix, Europe grid mix, DEFRA for transport), general averages may not capture local variations fully.</w:t>
      </w:r>
    </w:p>
    <w:p>
      <w:pPr>
        <w:numPr>
          <w:ilvl w:val="0"/>
          <w:numId w:val="1016"/>
        </w:numPr>
        <w:pStyle w:val="Compact"/>
      </w:pPr>
      <w:r>
        <w:rPr>
          <w:bCs/>
          <w:b/>
        </w:rPr>
        <w:t xml:space="preserve">LSR Standard Application:</w:t>
      </w:r>
      <w:r>
        <w:t xml:space="preserve"> </w:t>
      </w:r>
      <w:r>
        <w:t xml:space="preserve">Although the 2026 LSR Standard is acknowledged, a full quantitative application of land-use change and carbon removals was not possible without specific land footprint data for upstream activities.</w:t>
      </w:r>
    </w:p>
    <w:p>
      <w:pPr>
        <w:numPr>
          <w:ilvl w:val="0"/>
          <w:numId w:val="1016"/>
        </w:numPr>
        <w:pStyle w:val="Compact"/>
      </w:pPr>
      <w:r>
        <w:rPr>
          <w:bCs/>
          <w:b/>
        </w:rPr>
        <w:t xml:space="preserve">Scope 3 Coverage Assumptions:</w:t>
      </w:r>
      <w:r>
        <w:t xml:space="preserve"> </w:t>
      </w:r>
      <w:r>
        <w:t xml:space="preserve">While targeting 95% Scope 3 coverage, the exact breadth of all 15 Scope 3 categories could not be fully detailed without more granular operational data beyond the provided parameters. The primary Scope 3 categories relevant to product manufacturing and use have been covered comprehensively.</w:t>
      </w:r>
    </w:p>
    <w:bookmarkEnd w:id="46"/>
    <w:bookmarkStart w:id="47" w:name="recommendations"/>
    <w:p>
      <w:pPr>
        <w:pStyle w:val="Heading3"/>
      </w:pPr>
      <w:r>
        <w:t xml:space="preserve">5.3. Recommendations</w:t>
      </w:r>
    </w:p>
    <w:p>
      <w:pPr>
        <w:pStyle w:val="FirstParagraph"/>
      </w:pPr>
      <w:r>
        <w:t xml:space="preserve">Based on this PCF analysis, rkrpvksjnk should focus on the following to further reduce the carbon footprint of qqeuehpilw:</w:t>
      </w:r>
    </w:p>
    <w:p>
      <w:pPr>
        <w:numPr>
          <w:ilvl w:val="0"/>
          <w:numId w:val="1017"/>
        </w:numPr>
        <w:pStyle w:val="Compact"/>
      </w:pPr>
      <w:r>
        <w:rPr>
          <w:bCs/>
          <w:b/>
        </w:rPr>
        <w:t xml:space="preserve">Optimize Use Phase Efficiency:</w:t>
      </w:r>
      <w:r>
        <w:t xml:space="preserve"> </w:t>
      </w:r>
      <w:r>
        <w:t xml:space="preserve">Invest in R&amp;D to enhance the energy efficiency of qqeuehpilw during its operational life. Explore low-power modes, smart energy management features, and consumer education on efficient product use.</w:t>
      </w:r>
    </w:p>
    <w:p>
      <w:pPr>
        <w:numPr>
          <w:ilvl w:val="0"/>
          <w:numId w:val="1017"/>
        </w:numPr>
        <w:pStyle w:val="Compact"/>
      </w:pPr>
      <w:r>
        <w:rPr>
          <w:bCs/>
          <w:b/>
        </w:rPr>
        <w:t xml:space="preserve">Increase Renewable Energy Sourcing:</w:t>
      </w:r>
      <w:r>
        <w:t xml:space="preserve"> </w:t>
      </w:r>
      <w:r>
        <w:t xml:space="preserve">Further increase the percentage of renewable energy used in the manufacturing facility in China, potentially exploring on-site generation or Power Purchase Agreements (PPAs) with renewable energy providers.</w:t>
      </w:r>
    </w:p>
    <w:p>
      <w:pPr>
        <w:numPr>
          <w:ilvl w:val="0"/>
          <w:numId w:val="1017"/>
        </w:numPr>
        <w:pStyle w:val="Compact"/>
      </w:pPr>
      <w:r>
        <w:rPr>
          <w:bCs/>
          <w:b/>
        </w:rPr>
        <w:t xml:space="preserve">Sustainable Material Procurement:</w:t>
      </w:r>
      <w:r>
        <w:t xml:space="preserve"> </w:t>
      </w:r>
      <w:r>
        <w:t xml:space="preserve">Explore opportunities to integrate more recycled, bio-based, or lower-carbon footprint materials into the BOM, working closely with suppliers to drive down embodied emissions.</w:t>
      </w:r>
    </w:p>
    <w:p>
      <w:pPr>
        <w:numPr>
          <w:ilvl w:val="0"/>
          <w:numId w:val="1017"/>
        </w:numPr>
        <w:pStyle w:val="Compact"/>
      </w:pPr>
      <w:r>
        <w:rPr>
          <w:bCs/>
          <w:b/>
        </w:rPr>
        <w:t xml:space="preserve">Enhance Circularity:</w:t>
      </w:r>
      <w:r>
        <w:t xml:space="preserve"> </w:t>
      </w:r>
      <w:r>
        <w:t xml:space="preserve">Leverage the existing robust take-back program to maximize refurbishment and reuse of components, further extending product lifespan and minimizing the need for new material production.</w:t>
      </w:r>
    </w:p>
    <w:p>
      <w:pPr>
        <w:numPr>
          <w:ilvl w:val="0"/>
          <w:numId w:val="1017"/>
        </w:numPr>
        <w:pStyle w:val="Compact"/>
      </w:pPr>
      <w:r>
        <w:rPr>
          <w:bCs/>
          <w:b/>
        </w:rPr>
        <w:t xml:space="preserve">Logistics Optimization:</w:t>
      </w:r>
      <w:r>
        <w:t xml:space="preserve"> </w:t>
      </w:r>
      <w:r>
        <w:t xml:space="preserve">Continuously optimize transport routes and modes, prioritizing lower-emission options such as rail or sea freight over air where feasible, especially for the European supply chain.</w:t>
      </w:r>
    </w:p>
    <w:p>
      <w:r>
        <w:pict>
          <v:rect style="width:0;height:1.5pt" o:hralign="center" o:hrstd="t" o:hr="t"/>
        </w:pict>
      </w:r>
    </w:p>
    <w:bookmarkEnd w:id="47"/>
    <w:bookmarkEnd w:id="48"/>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qqeuehpilw</dc:title>
  <dc:creator/>
  <dc:description>High-detail Product Carbon Footprint (PCF) analysis for product qqeuehpilw by Senior Sustainability Consultant vfplgxmggf for company rkrpvksjnk, adhering to GHG Protocol and 2026 LSR updates.</dc:description>
  <dc:language>en</dc:language>
  <cp:keywords/>
  <dcterms:created xsi:type="dcterms:W3CDTF">2026-07-15T06:01:58Z</dcterms:created>
  <dcterms:modified xsi:type="dcterms:W3CDTF">2026-07-15T06:01:58Z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