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qnyfzjuvhq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w:t>
      </w:r>
      <w:r>
        <w:t xml:space="preserve"> </w:t>
      </w:r>
      <w:r>
        <w:rPr>
          <w:bCs/>
          <w:b/>
        </w:rPr>
        <w:t xml:space="preserve">qnyfzjuvhq</w:t>
      </w:r>
    </w:p>
    <w:p>
      <w:pPr>
        <w:pStyle w:val="BodyText"/>
      </w:pPr>
      <w:r>
        <w:t xml:space="preserve">Company:</w:t>
      </w:r>
      <w:r>
        <w:t xml:space="preserve"> </w:t>
      </w:r>
      <w:r>
        <w:rPr>
          <w:bCs/>
          <w:b/>
        </w:rPr>
        <w:t xml:space="preserve">qovnogrjuj</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lwksdztrgo</w:t>
      </w:r>
    </w:p>
    <w:p>
      <w:pPr>
        <w:pStyle w:val="BodyText"/>
      </w:pPr>
      <w:r>
        <w:rPr>
          <w:iCs/>
          <w:i/>
        </w:rPr>
        <w:t xml:space="preserve">This report is generated based on available data and industry standards. While every effort has been made to ensure accuracy, actual emissions may vary depending on real-world conditions and data precision.</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qnyfzjuvhq</w:t>
      </w:r>
      <w:r>
        <w:t xml:space="preserve">, manufactured by</w:t>
      </w:r>
      <w:r>
        <w:t xml:space="preserve"> </w:t>
      </w:r>
      <w:r>
        <w:rPr>
          <w:bCs/>
          <w:b/>
        </w:rPr>
        <w:t xml:space="preserve">qovnogrjuj</w:t>
      </w:r>
      <w:r>
        <w:t xml:space="preserve">. The assessment adheres strictly to the GHG Protocol standards, incorporating the latest 2026 Land Sector and Removals (LSR) Standard updates and targeting at least 95% Scope 3 coverage. The analysis covers the lifecycle of qnyfzjuvhq from raw material acquisition through manufacturing, transport, use, and end-of-life, with a system boundary set at \'factory_gate\'. Key insights into emission hotspots and recommendations for reduction are provided.</w:t>
      </w:r>
    </w:p>
    <w:p>
      <w:r>
        <w:pict>
          <v:rect style="width:0;height:1.5pt" o:hralign="center" o:hrstd="t" o:hr="t"/>
        </w:pict>
      </w:r>
    </w:p>
    <w:bookmarkEnd w:id="21"/>
    <w:bookmarkStart w:id="26" w:name="defining-the-scope-of-analysis"/>
    <w:p>
      <w:pPr>
        <w:pStyle w:val="Heading2"/>
      </w:pPr>
      <w:r>
        <w:t xml:space="preserve">1. Defining the Scope of Analysis</w:t>
      </w:r>
    </w:p>
    <w:p>
      <w:pPr>
        <w:pStyle w:val="FirstParagraph"/>
      </w:pPr>
      <w:r>
        <w:t xml:space="preserve">The scope of this Product Carbon Footprint (PCF) analysis for</w:t>
      </w:r>
      <w:r>
        <w:t xml:space="preserve"> </w:t>
      </w:r>
      <w:r>
        <w:rPr>
          <w:bCs/>
          <w:b/>
        </w:rPr>
        <w:t xml:space="preserve">qnyfzjuvhq</w:t>
      </w:r>
      <w:r>
        <w:t xml:space="preserve"> </w:t>
      </w:r>
      <w:r>
        <w:t xml:space="preserve">aligns with the principles and requirements of the GHG Protocol Product Life Cycle Accounting and Reporting Standard.</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qnyfzjuvhq.</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rPr>
          <w:bCs/>
          <w:b/>
        </w:rPr>
        <w:t xml:space="preserve">2026 Land Sector and Removals (LSR) Update:</w:t>
      </w:r>
      <w:r>
        <w:t xml:space="preserve"> </w:t>
      </w:r>
      <w:r>
        <w:t xml:space="preserve">The Land Sector and Removals (LSR) Standard, effective January 1, 2027, provides requirements and guidance for quantifying, reporting, and tracking land emissions and CO₂ removals. While the primary system boundary for this PCF is \'factory_gate\' and direct land-use change from raw materials is not a primary focus here, any relevant biogenic carbon flows or removals within the traceable upstream supply chain would be considered if data were available, aligning with the LSR\'s intent to inform mitigation strategies and track performance. The current version of the LSR Standard (v1.0) applies to agriculture and CO2 removal technologies but does not cover forestry.</w:t>
      </w:r>
    </w:p>
    <w:p>
      <w:pPr>
        <w:numPr>
          <w:ilvl w:val="0"/>
          <w:numId w:val="1004"/>
        </w:numPr>
        <w:pStyle w:val="Compact"/>
      </w:pPr>
      <w:r>
        <w:rPr>
          <w:bCs/>
          <w:b/>
        </w:rPr>
        <w:t xml:space="preserve">Scope 3 Compliance:</w:t>
      </w:r>
      <w:r>
        <w:t xml:space="preserve"> </w:t>
      </w:r>
      <w:r>
        <w:t xml:space="preserve">As per 2026 requirements, this report aims for at least 95% coverage for Scope 3 emissions reporting. This necessitates a comprehensive mapping of value chain activities and robust data collection to minimize exclusions. Emissions data is disaggregated by data type, promoting transparency and incentivizing primary data collection.</w:t>
      </w:r>
    </w:p>
    <w:p>
      <w:r>
        <w:pict>
          <v:rect style="width:0;height:1.5pt" o:hralign="center" o:hrstd="t" o:hr="t"/>
        </w:pict>
      </w:r>
    </w:p>
    <w:bookmarkEnd w:id="25"/>
    <w:bookmarkEnd w:id="26"/>
    <w:bookmarkStart w:id="32" w:name="X5f6238d8f16941aa7ae708ba12ab5c6974c30f4"/>
    <w:p>
      <w:pPr>
        <w:pStyle w:val="Heading2"/>
      </w:pPr>
      <w:r>
        <w:t xml:space="preserve">2. Mapping the Product Lifecycle (LCI Inventory Stages) &amp; 3. Data Collection</w:t>
      </w:r>
    </w:p>
    <w:p>
      <w:pPr>
        <w:pStyle w:val="FirstParagraph"/>
      </w:pPr>
      <w:r>
        <w:t xml:space="preserve">The lifecycle of</w:t>
      </w:r>
      <w:r>
        <w:t xml:space="preserve"> </w:t>
      </w:r>
      <w:r>
        <w:rPr>
          <w:bCs/>
          <w:b/>
        </w:rPr>
        <w:t xml:space="preserve">qnyfzjuvhq</w:t>
      </w:r>
      <w:r>
        <w:t xml:space="preserve"> </w:t>
      </w:r>
      <w:r>
        <w:t xml:space="preserve">is mapped into several stages to identify all relevant inputs and outputs for accurate emission calculation. Data has been collected from the provided parameters, with specific emission factors utilized for each activity.</w:t>
      </w:r>
    </w:p>
    <w:bookmarkStart w:id="27" w:name="X21daebf6e2e89221eedd09a950314a91b715c95"/>
    <w:p>
      <w:pPr>
        <w:pStyle w:val="Heading3"/>
      </w:pPr>
      <w:r>
        <w:t xml:space="preserve">2.1 Material Acquisition and Pre-processing (Upstream - Scope 3)</w:t>
      </w:r>
    </w:p>
    <w:p>
      <w:pPr>
        <w:pStyle w:val="FirstParagraph"/>
      </w:pPr>
      <w:r>
        <w:t xml:space="preserve">The Detailed Bill of Materials (BOM) provides specific data for each component of qnyfzjuvhq. The \'Total Carbon\' values from the BOM are directly used for calculating the material impact, reflecting a high-accuracy material impact calculation over default estimates.</w:t>
      </w:r>
    </w:p>
    <w:p>
      <w:pPr>
        <w:pStyle w:val="BodyText"/>
      </w:pPr>
      <w:r>
        <w:rPr>
          <w:bCs/>
          <w:b/>
        </w:rPr>
        <w:t xml:space="preserve">Detailed Bill of Materials (slqvodyp):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w:t>
            </w:r>
          </w:p>
        </w:tc>
      </w:tr>
    </w:tbl>
    <w:p>
      <w:pPr>
        <w:pStyle w:val="BodyText"/>
      </w:pPr>
      <w:r>
        <w:t xml:space="preserve">*Note: The \'Emission Factor\' column in the BOM represents the CO2e per unit of quantity for each material, and \'Total Carbon\' is the calculated emissions for that specific material based on the quantity and emission factor.*</w:t>
      </w:r>
    </w:p>
    <w:bookmarkEnd w:id="27"/>
    <w:bookmarkStart w:id="28" w:name="X8c5dd07f98a0fdc74a239169d2bea49d5c7e510"/>
    <w:p>
      <w:pPr>
        <w:pStyle w:val="Heading3"/>
      </w:pPr>
      <w:r>
        <w:t xml:space="preserve">2.2 Manufacturing / Production (Core Operations - Scope 1 &amp; 2)</w:t>
      </w:r>
    </w:p>
    <w:p>
      <w:pPr>
        <w:pStyle w:val="FirstParagraph"/>
      </w:pPr>
      <w:r>
        <w:t xml:space="preserve">The manufacturing process takes place in China.</w:t>
      </w:r>
    </w:p>
    <w:p>
      <w:pPr>
        <w:numPr>
          <w:ilvl w:val="0"/>
          <w:numId w:val="1005"/>
        </w:numPr>
        <w:pStyle w:val="Compact"/>
      </w:pPr>
      <w:r>
        <w:rPr>
          <w:bCs/>
          <w:b/>
        </w:rPr>
        <w:t xml:space="preserve">Energy Intensity (kWh/unit):</w:t>
      </w:r>
      <w:r>
        <w:t xml:space="preserve"> </w:t>
      </w:r>
      <w:r>
        <w:t xml:space="preserve">xqwqivfvzu = 0.8 kWh/unit.</w:t>
      </w:r>
    </w:p>
    <w:p>
      <w:pPr>
        <w:numPr>
          <w:ilvl w:val="0"/>
          <w:numId w:val="1005"/>
        </w:numPr>
        <w:pStyle w:val="Compact"/>
      </w:pPr>
      <w:r>
        <w:rPr>
          <w:bCs/>
          <w:b/>
        </w:rPr>
        <w:t xml:space="preserve">Renewable Energy Usage:</w:t>
      </w:r>
      <w:r>
        <w:t xml:space="preserve"> </w:t>
      </w:r>
      <w:r>
        <w:t xml:space="preserve">tillrmwjqp = 50%.</w:t>
      </w:r>
    </w:p>
    <w:p>
      <w:pPr>
        <w:pStyle w:val="FirstParagraph"/>
      </w:pPr>
      <w:r>
        <w:t xml:space="preserve">To calculate manufacturing energy emissions, we consider the regional electricity grid mix for China and the company\'s renewable energy procurement.</w:t>
      </w:r>
    </w:p>
    <w:p>
      <w:pPr>
        <w:pStyle w:val="BodyText"/>
      </w:pPr>
      <w:r>
        <w:rPr>
          <w:bCs/>
          <w:b/>
        </w:rPr>
        <w:t xml:space="preserve">Illustrative Emission Factors (Industry Standard - Ecoinvent/DEFRA aligned):</w:t>
      </w:r>
    </w:p>
    <w:p>
      <w:pPr>
        <w:numPr>
          <w:ilvl w:val="0"/>
          <w:numId w:val="1006"/>
        </w:numPr>
        <w:pStyle w:val="Compact"/>
      </w:pPr>
      <w:r>
        <w:t xml:space="preserve">China Electricity Grid Mix Emission Factor: 0.6 kg CO2e/kWh (Illustrative, based on average grid intensity for regions with significant coal power).</w:t>
      </w:r>
    </w:p>
    <w:p>
      <w:pPr>
        <w:numPr>
          <w:ilvl w:val="0"/>
          <w:numId w:val="1006"/>
        </w:numPr>
        <w:pStyle w:val="Compact"/>
      </w:pPr>
      <w:r>
        <w:t xml:space="preserve">Renewable Electricity Emission Factor: 0.03 kg CO2e/kWh (Illustrative, average of wind/hydro/solar).</w:t>
      </w:r>
    </w:p>
    <w:p>
      <w:pPr>
        <w:pStyle w:val="FirstParagraph"/>
      </w:pPr>
      <w:r>
        <w:rPr>
          <w:bCs/>
          <w:b/>
        </w:rPr>
        <w:t xml:space="preserve">Breakdown of Energy Inputs:</w:t>
      </w:r>
    </w:p>
    <w:p>
      <w:pPr>
        <w:numPr>
          <w:ilvl w:val="0"/>
          <w:numId w:val="1007"/>
        </w:numPr>
        <w:pStyle w:val="Compact"/>
      </w:pPr>
      <w:r>
        <w:rPr>
          <w:bCs/>
          <w:b/>
        </w:rPr>
        <w:t xml:space="preserve">Grid Electricity Consumption:</w:t>
      </w:r>
      <w:r>
        <w:t xml:space="preserve"> </w:t>
      </w:r>
      <w:r>
        <w:t xml:space="preserve">0.8 kWh/unit * (1 - 0.50) = 0.4 kWh/unit.</w:t>
      </w:r>
    </w:p>
    <w:p>
      <w:pPr>
        <w:numPr>
          <w:ilvl w:val="0"/>
          <w:numId w:val="1007"/>
        </w:numPr>
        <w:pStyle w:val="Compact"/>
      </w:pPr>
      <w:r>
        <w:rPr>
          <w:bCs/>
          <w:b/>
        </w:rPr>
        <w:t xml:space="preserve">Renewable Electricity Consumption:</w:t>
      </w:r>
      <w:r>
        <w:t xml:space="preserve"> </w:t>
      </w:r>
      <w:r>
        <w:t xml:space="preserve">0.8 kWh/unit * 0.50 = 0.4 kWh/unit.</w:t>
      </w:r>
    </w:p>
    <w:bookmarkEnd w:id="28"/>
    <w:bookmarkStart w:id="29" w:name="transportation-upstream---scope-3"/>
    <w:p>
      <w:pPr>
        <w:pStyle w:val="Heading3"/>
      </w:pPr>
      <w:r>
        <w:t xml:space="preserve">2.3 Transportation (Upstream - Scope 3)</w:t>
      </w:r>
    </w:p>
    <w:p>
      <w:pPr>
        <w:pStyle w:val="FirstParagraph"/>
      </w:pPr>
      <w:r>
        <w:t xml:space="preserve">Transportation emissions are accounted for inbound logistics (raw materials to factory).</w:t>
      </w:r>
    </w:p>
    <w:p>
      <w:pPr>
        <w:numPr>
          <w:ilvl w:val="0"/>
          <w:numId w:val="1008"/>
        </w:numPr>
        <w:pStyle w:val="Compact"/>
      </w:pPr>
      <w:r>
        <w:rPr>
          <w:bCs/>
          <w:b/>
        </w:rPr>
        <w:t xml:space="preserve">Transport Mode:</w:t>
      </w:r>
      <w:r>
        <w:t xml:space="preserve"> </w:t>
      </w:r>
      <w:r>
        <w:t xml:space="preserve">Select Mode (Assumed: Road Freight for Europe-focused supply chain).</w:t>
      </w:r>
    </w:p>
    <w:p>
      <w:pPr>
        <w:numPr>
          <w:ilvl w:val="0"/>
          <w:numId w:val="1008"/>
        </w:numPr>
        <w:pStyle w:val="Compact"/>
      </w:pPr>
      <w:r>
        <w:rPr>
          <w:bCs/>
          <w:b/>
        </w:rPr>
        <w:t xml:space="preserve">Transport Distance:</w:t>
      </w:r>
      <w:r>
        <w:t xml:space="preserve"> </w:t>
      </w:r>
      <w:r>
        <w:t xml:space="preserve">gyppvhvuvp (Assumed: 1500 km for an average European supply chain route).</w:t>
      </w:r>
    </w:p>
    <w:p>
      <w:pPr>
        <w:numPr>
          <w:ilvl w:val="0"/>
          <w:numId w:val="1008"/>
        </w:numPr>
        <w:pStyle w:val="Compact"/>
      </w:pPr>
      <w:r>
        <w:rPr>
          <w:bCs/>
          <w:b/>
        </w:rPr>
        <w:t xml:space="preserve">Last-Mile Delivery Channel:</w:t>
      </w:r>
      <w:r>
        <w:t xml:space="preserve"> </w:t>
      </w:r>
      <w:r>
        <w:t xml:space="preserve">Delivery Type (Assumed: Parcel Service, relevant for components or direct-to-factory delivery).</w:t>
      </w:r>
    </w:p>
    <w:p>
      <w:pPr>
        <w:pStyle w:val="FirstParagraph"/>
      </w:pPr>
      <w:r>
        <w:rPr>
          <w:bCs/>
          <w:b/>
        </w:rPr>
        <w:t xml:space="preserve">Illustrative Emission Factors (Industry Standard - Ecoinvent/DEFRA aligned):</w:t>
      </w:r>
    </w:p>
    <w:p>
      <w:pPr>
        <w:numPr>
          <w:ilvl w:val="0"/>
          <w:numId w:val="1009"/>
        </w:numPr>
        <w:pStyle w:val="Compact"/>
      </w:pPr>
      <w:r>
        <w:t xml:space="preserve">Road Freight (HGV, average European): 0.062 kg CO2e/tonne-km (McKinnon average).</w:t>
      </w:r>
    </w:p>
    <w:p>
      <w:pPr>
        <w:numPr>
          <w:ilvl w:val="0"/>
          <w:numId w:val="1009"/>
        </w:numPr>
        <w:pStyle w:val="Compact"/>
      </w:pPr>
      <w:r>
        <w:t xml:space="preserve">Parcel Service (Last-Mile): 0.23 kg CO2e/package (Illustrative, based on general parcel delivery emissions).</w:t>
      </w:r>
    </w:p>
    <w:p>
      <w:pPr>
        <w:pStyle w:val="FirstParagraph"/>
      </w:pPr>
      <w:r>
        <w:t xml:space="preserve">*Note: For a high-detail analysis, specific weights of transported goods and vehicle types would be required. Here, average factors are used for demonstration.*</w:t>
      </w:r>
    </w:p>
    <w:bookmarkEnd w:id="29"/>
    <w:bookmarkStart w:id="30" w:name="product-use-phase-downstream---scope-3"/>
    <w:p>
      <w:pPr>
        <w:pStyle w:val="Heading3"/>
      </w:pPr>
      <w:r>
        <w:t xml:space="preserve">2.4 Product Use Phase (Downstream - Scope 3)</w:t>
      </w:r>
    </w:p>
    <w:p>
      <w:pPr>
        <w:pStyle w:val="FirstParagraph"/>
      </w:pPr>
      <w:r>
        <w:t xml:space="preserve">Although the system boundary is \'factory_gate\', an expanded calculation for the use phase is included for comprehensive understanding.</w:t>
      </w:r>
    </w:p>
    <w:p>
      <w:pPr>
        <w:numPr>
          <w:ilvl w:val="0"/>
          <w:numId w:val="1010"/>
        </w:numPr>
        <w:pStyle w:val="Compact"/>
      </w:pPr>
      <w:r>
        <w:rPr>
          <w:bCs/>
          <w:b/>
        </w:rPr>
        <w:t xml:space="preserve">Product Lifespan:</w:t>
      </w:r>
      <w:r>
        <w:t xml:space="preserve"> </w:t>
      </w:r>
      <w:r>
        <w:t xml:space="preserve">ewtlyrqnps (Assumed: 3 years).</w:t>
      </w:r>
    </w:p>
    <w:p>
      <w:pPr>
        <w:numPr>
          <w:ilvl w:val="0"/>
          <w:numId w:val="1010"/>
        </w:numPr>
        <w:pStyle w:val="Compact"/>
      </w:pPr>
      <w:r>
        <w:rPr>
          <w:bCs/>
          <w:b/>
        </w:rPr>
        <w:t xml:space="preserve">Energy Consumption in Use:</w:t>
      </w:r>
      <w:r>
        <w:t xml:space="preserve"> </w:t>
      </w:r>
      <w:r>
        <w:t xml:space="preserve">tnfpvgomxs (Assumed: 5 kWh/year).</w:t>
      </w:r>
    </w:p>
    <w:p>
      <w:pPr>
        <w:pStyle w:val="FirstParagraph"/>
      </w:pPr>
      <w:r>
        <w:rPr>
          <w:bCs/>
          <w:b/>
        </w:rPr>
        <w:t xml:space="preserve">Illustrative Emission Factor:</w:t>
      </w:r>
    </w:p>
    <w:p>
      <w:pPr>
        <w:numPr>
          <w:ilvl w:val="0"/>
          <w:numId w:val="1011"/>
        </w:numPr>
        <w:pStyle w:val="Compact"/>
      </w:pPr>
      <w:r>
        <w:t xml:space="preserve">Average user country electricity mix (e.g., global average grid mix): 0.4 kg CO2e/kWh (Illustrative).</w:t>
      </w:r>
    </w:p>
    <w:bookmarkEnd w:id="30"/>
    <w:bookmarkStart w:id="31" w:name="Xa3178291067b17801a9514a396b61d67321e6a2"/>
    <w:p>
      <w:pPr>
        <w:pStyle w:val="Heading3"/>
      </w:pPr>
      <w:r>
        <w:t xml:space="preserve">2.5 End-of-Life (EoL) Treatment (Downstream - Scope 3)</w:t>
      </w:r>
    </w:p>
    <w:p>
      <w:pPr>
        <w:pStyle w:val="FirstParagraph"/>
      </w:pPr>
      <w:r>
        <w:t xml:space="preserve">Although the system boundary is \'factory_gate\', an expanded calculation for EoL is included for comprehensive understanding.</w:t>
      </w:r>
    </w:p>
    <w:p>
      <w:pPr>
        <w:numPr>
          <w:ilvl w:val="0"/>
          <w:numId w:val="1012"/>
        </w:numPr>
        <w:pStyle w:val="Compact"/>
      </w:pPr>
      <w:r>
        <w:rPr>
          <w:bCs/>
          <w:b/>
        </w:rPr>
        <w:t xml:space="preserve">Recyclability Percentage:</w:t>
      </w:r>
      <w:r>
        <w:t xml:space="preserve"> </w:t>
      </w:r>
      <w:r>
        <w:t xml:space="preserve">jdwphhxwjg (Assumed: 70%).</w:t>
      </w:r>
    </w:p>
    <w:p>
      <w:pPr>
        <w:numPr>
          <w:ilvl w:val="0"/>
          <w:numId w:val="1012"/>
        </w:numPr>
        <w:pStyle w:val="Compact"/>
      </w:pPr>
      <w:r>
        <w:rPr>
          <w:bCs/>
          <w:b/>
        </w:rPr>
        <w:t xml:space="preserve">Circular/Take-back Programs:</w:t>
      </w:r>
      <w:r>
        <w:t xml:space="preserve"> </w:t>
      </w:r>
      <w:r>
        <w:t xml:space="preserve">lkxlldxjuk (Assumed: Yes, active).</w:t>
      </w:r>
    </w:p>
    <w:p>
      <w:pPr>
        <w:pStyle w:val="FirstParagraph"/>
      </w:pPr>
      <w:r>
        <w:rPr>
          <w:bCs/>
          <w:b/>
        </w:rPr>
        <w:t xml:space="preserve">Illustrative Emission Factors (Industry Standard - Ecoinvent/DEFRA aligned):</w:t>
      </w:r>
    </w:p>
    <w:p>
      <w:pPr>
        <w:numPr>
          <w:ilvl w:val="0"/>
          <w:numId w:val="1013"/>
        </w:numPr>
        <w:pStyle w:val="Compact"/>
      </w:pPr>
      <w:r>
        <w:t xml:space="preserve">Recycling Emissions (e.g., mixed materials): 0.2 kg CO2e/kg (Process emissions for collection, sorting, reprocessing).</w:t>
      </w:r>
    </w:p>
    <w:p>
      <w:pPr>
        <w:numPr>
          <w:ilvl w:val="0"/>
          <w:numId w:val="1013"/>
        </w:numPr>
        <w:pStyle w:val="Compact"/>
      </w:pPr>
      <w:r>
        <w:t xml:space="preserve">Avoided Emissions from Recycling (e.g., virgin material offset): -1.5 kg CO2e/kg (Illustrative, based on material-specific benefits of recycled vs. virgin production).</w:t>
      </w:r>
    </w:p>
    <w:p>
      <w:pPr>
        <w:numPr>
          <w:ilvl w:val="0"/>
          <w:numId w:val="1013"/>
        </w:numPr>
        <w:pStyle w:val="Compact"/>
      </w:pPr>
      <w:r>
        <w:t xml:space="preserve">Disposal/Landfilling Emissions: 0.05 kg CO2e/kg (Illustrative, for non-recycled portion).</w:t>
      </w:r>
    </w:p>
    <w:p>
      <w:r>
        <w:pict>
          <v:rect style="width:0;height:1.5pt" o:hralign="center" o:hrstd="t" o:hr="t"/>
        </w:pict>
      </w:r>
    </w:p>
    <w:bookmarkEnd w:id="31"/>
    <w:bookmarkEnd w:id="32"/>
    <w:bookmarkStart w:id="43" w:name="X3720d7d0541b3a6e3c473bd4daa188ddb828856"/>
    <w:p>
      <w:pPr>
        <w:pStyle w:val="Heading2"/>
      </w:pPr>
      <w:r>
        <w:t xml:space="preserve">4. Calculating Emissions (Activity * Emission Factor = CO2e)</w:t>
      </w:r>
    </w:p>
    <w:p>
      <w:pPr>
        <w:pStyle w:val="FirstParagraph"/>
      </w:pPr>
      <w:r>
        <w:t xml:space="preserve">Emissions are categorized into Scope 1, Scope 2, and Scope 3 as per GHG Protocol.</w:t>
      </w:r>
    </w:p>
    <w:bookmarkStart w:id="33" w:name="X333f8c763f79996da5803eba15a8d6faca7a092"/>
    <w:p>
      <w:pPr>
        <w:pStyle w:val="Heading3"/>
      </w:pPr>
      <w:r>
        <w:t xml:space="preserve">4.1 Scope 1: Direct Emissions (Company Owned or Controlled Sources)</w:t>
      </w:r>
    </w:p>
    <w:p>
      <w:pPr>
        <w:pStyle w:val="FirstParagraph"/>
      </w:pPr>
      <w:r>
        <w:t xml:space="preserve">For a \'factory_gate\' boundary, direct emissions typically include on-site fuel combustion for manufacturing processes not related to electricity generation, or fugitive emissions. For this analysis, assuming all manufacturing energy is from purchased electricity, Scope 1 could be negligible unless specific on-site fuel consumption data (e.g., for heating or specific industrial processes) is provided. Without additional data, we assume minimal direct process emissions within the manufacturing site itself that are not already covered by electricity generation.</w:t>
      </w:r>
    </w:p>
    <w:p>
      <w:pPr>
        <w:pStyle w:val="BodyText"/>
      </w:pPr>
      <w:r>
        <w:rPr>
          <w:bCs/>
          <w:b/>
        </w:rPr>
        <w:t xml:space="preserve">Estimated Scope 1 Emissions:</w:t>
      </w:r>
      <w:r>
        <w:t xml:space="preserve"> </w:t>
      </w:r>
      <w:r>
        <w:t xml:space="preserve">0.0 kg CO2e (Assumed negligible given provided parameters focused on electricity intensity).</w:t>
      </w:r>
    </w:p>
    <w:bookmarkEnd w:id="33"/>
    <w:bookmarkStart w:id="34" w:name="Xc391b73d63032c8f0f22baa1c8297f84d2d2f7e"/>
    <w:p>
      <w:pPr>
        <w:pStyle w:val="Heading3"/>
      </w:pPr>
      <w:r>
        <w:t xml:space="preserve">4.2 Scope 2: Energy Indirect Emissions (Purchased Electricity, Steam, Heat, Cooling)</w:t>
      </w:r>
    </w:p>
    <w:p>
      <w:pPr>
        <w:pStyle w:val="FirstParagraph"/>
      </w:pPr>
      <w:r>
        <w:t xml:space="preserve">These emissions result from the generation of purchased electricity used in the manufacturing of qnyfzjuvhq.</w:t>
      </w:r>
    </w:p>
    <w:p>
      <w:pPr>
        <w:numPr>
          <w:ilvl w:val="0"/>
          <w:numId w:val="1014"/>
        </w:numPr>
        <w:pStyle w:val="Compact"/>
      </w:pPr>
      <w:r>
        <w:t xml:space="preserve">Total Energy Intensity: 0.8 kWh/unit</w:t>
      </w:r>
    </w:p>
    <w:p>
      <w:pPr>
        <w:numPr>
          <w:ilvl w:val="0"/>
          <w:numId w:val="1014"/>
        </w:numPr>
        <w:pStyle w:val="Compact"/>
      </w:pPr>
      <w:r>
        <w:t xml:space="preserve">Renewable Energy Usage: 50%</w:t>
      </w:r>
    </w:p>
    <w:p>
      <w:pPr>
        <w:numPr>
          <w:ilvl w:val="0"/>
          <w:numId w:val="1014"/>
        </w:numPr>
        <w:pStyle w:val="Compact"/>
      </w:pPr>
      <w:r>
        <w:t xml:space="preserve">Grid Electricity Share: 50%</w:t>
      </w:r>
    </w:p>
    <w:p>
      <w:pPr>
        <w:numPr>
          <w:ilvl w:val="0"/>
          <w:numId w:val="1014"/>
        </w:numPr>
        <w:pStyle w:val="Compact"/>
      </w:pPr>
      <w:r>
        <w:t xml:space="preserve">Renewable Electricity Share: 50%</w:t>
      </w:r>
    </w:p>
    <w:p>
      <w:pPr>
        <w:numPr>
          <w:ilvl w:val="0"/>
          <w:numId w:val="1014"/>
        </w:numPr>
        <w:pStyle w:val="Compact"/>
      </w:pPr>
      <w:r>
        <w:t xml:space="preserve">China Grid Mix EF: 0.6 kg CO2e/kWh</w:t>
      </w:r>
    </w:p>
    <w:p>
      <w:pPr>
        <w:numPr>
          <w:ilvl w:val="0"/>
          <w:numId w:val="1014"/>
        </w:numPr>
        <w:pStyle w:val="Compact"/>
      </w:pPr>
      <w:r>
        <w:t xml:space="preserve">Renewable EF: 0.03 kg CO2e/kWh</w:t>
      </w:r>
    </w:p>
    <w:p>
      <w:pPr>
        <w:pStyle w:val="FirstParagraph"/>
      </w:pPr>
      <w:r>
        <w:rPr>
          <w:bCs/>
          <w:b/>
        </w:rPr>
        <w:t xml:space="preserve">Calculation:</w:t>
      </w:r>
      <w:r>
        <w:br/>
      </w:r>
      <w:r>
        <w:t xml:space="preserve">Emissions from Grid Electricity = (0.8 kWh/unit * 0.50) * 0.6 kg CO2e/kWh = 0.24 kg CO2e/unit</w:t>
      </w:r>
      <w:r>
        <w:br/>
      </w:r>
      <w:r>
        <w:t xml:space="preserve">Emissions from Renewable Electricity = (0.8 kWh/unit * 0.50) * 0.03 kg CO2e/kWh = 0.012 kg CO2e/unit</w:t>
      </w:r>
    </w:p>
    <w:p>
      <w:pPr>
        <w:pStyle w:val="BodyText"/>
      </w:pPr>
      <w:r>
        <w:rPr>
          <w:bCs/>
          <w:b/>
        </w:rPr>
        <w:t xml:space="preserve">Estimated Scope 2 Emissions:</w:t>
      </w:r>
      <w:r>
        <w:t xml:space="preserve"> </w:t>
      </w:r>
      <w:r>
        <w:t xml:space="preserve">0.24 + 0.012 = 0.252 kg CO2e/unit</w:t>
      </w:r>
    </w:p>
    <w:bookmarkEnd w:id="34"/>
    <w:bookmarkStart w:id="39" w:name="scope-3-value-chain-emissions"/>
    <w:p>
      <w:pPr>
        <w:pStyle w:val="Heading3"/>
      </w:pPr>
      <w:r>
        <w:t xml:space="preserve">4.3 Scope 3: Value Chain Emissions</w:t>
      </w:r>
    </w:p>
    <w:p>
      <w:pPr>
        <w:pStyle w:val="FirstParagraph"/>
      </w:pPr>
      <w:r>
        <w:t xml:space="preserve">Scope 3 emissions encompass all other indirect emissions in the value chain, both upstream and downstream. This analysis aims for at least 95% coverage as per 2026 GHG Protocol requirements.</w:t>
      </w:r>
    </w:p>
    <w:bookmarkStart w:id="35" w:name="Xd2afc350fd9ea64645be39a78640705471d290a"/>
    <w:p>
      <w:pPr>
        <w:pStyle w:val="Heading4"/>
      </w:pPr>
      <w:r>
        <w:t xml:space="preserve">4.3.1 Category 1: Purchased Goods and Services (Upstream)</w:t>
      </w:r>
    </w:p>
    <w:p>
      <w:pPr>
        <w:pStyle w:val="FirstParagraph"/>
      </w:pPr>
      <w:r>
        <w:t xml:space="preserve">Based on the Detailed Bill of Materials (BOM) for qnyfzjuvhq.</w:t>
      </w:r>
    </w:p>
    <w:p>
      <w:pPr>
        <w:numPr>
          <w:ilvl w:val="0"/>
          <w:numId w:val="1015"/>
        </w:numPr>
        <w:pStyle w:val="Compact"/>
      </w:pPr>
      <w:r>
        <w:t xml:space="preserve">Aluminum Casing: 3.5 kg CO2e</w:t>
      </w:r>
    </w:p>
    <w:p>
      <w:pPr>
        <w:numPr>
          <w:ilvl w:val="0"/>
          <w:numId w:val="1015"/>
        </w:numPr>
        <w:pStyle w:val="Compact"/>
      </w:pPr>
      <w:r>
        <w:t xml:space="preserve">Plastic Enclosure: 0.9 kg CO2e</w:t>
      </w:r>
    </w:p>
    <w:p>
      <w:pPr>
        <w:numPr>
          <w:ilvl w:val="0"/>
          <w:numId w:val="1015"/>
        </w:numPr>
        <w:pStyle w:val="Compact"/>
      </w:pPr>
      <w:r>
        <w:t xml:space="preserve">Circuit Board: 2.0 kg CO2e</w:t>
      </w:r>
    </w:p>
    <w:p>
      <w:pPr>
        <w:numPr>
          <w:ilvl w:val="0"/>
          <w:numId w:val="1015"/>
        </w:numPr>
        <w:pStyle w:val="Compact"/>
      </w:pPr>
      <w:r>
        <w:t xml:space="preserve">Silicon Chip: 1.0 kg CO2e</w:t>
      </w:r>
    </w:p>
    <w:p>
      <w:pPr>
        <w:pStyle w:val="FirstParagraph"/>
      </w:pPr>
      <w:r>
        <w:rPr>
          <w:bCs/>
          <w:b/>
        </w:rPr>
        <w:t xml:space="preserve">Total Material Emissions:</w:t>
      </w:r>
      <w:r>
        <w:t xml:space="preserve"> </w:t>
      </w:r>
      <w:r>
        <w:t xml:space="preserve">3.5 + 0.9 + 2.0 + 1.0 = 7.4 kg CO2e/unit</w:t>
      </w:r>
    </w:p>
    <w:bookmarkEnd w:id="35"/>
    <w:bookmarkStart w:id="36" w:name="X171f0d3284324fc9b7aef9773a53d3587b6245b"/>
    <w:p>
      <w:pPr>
        <w:pStyle w:val="Heading4"/>
      </w:pPr>
      <w:r>
        <w:t xml:space="preserve">4.3.2 Category 4: Upstream Transportation and Distribution (Upstream)</w:t>
      </w:r>
    </w:p>
    <w:p>
      <w:pPr>
        <w:pStyle w:val="FirstParagraph"/>
      </w:pPr>
      <w:r>
        <w:t xml:space="preserve">For inbound logistics (materials to factory).</w:t>
      </w:r>
    </w:p>
    <w:p>
      <w:pPr>
        <w:numPr>
          <w:ilvl w:val="0"/>
          <w:numId w:val="1016"/>
        </w:numPr>
        <w:pStyle w:val="Compact"/>
      </w:pPr>
      <w:r>
        <w:t xml:space="preserve">Assumed Total Inbound Weight: 1.0 kg (based on sum of BOM quantities: 0.5 + 0.3 + 1.0 + 0.01, rounded up for simplification)</w:t>
      </w:r>
    </w:p>
    <w:p>
      <w:pPr>
        <w:numPr>
          <w:ilvl w:val="0"/>
          <w:numId w:val="1016"/>
        </w:numPr>
        <w:pStyle w:val="Compact"/>
      </w:pPr>
      <w:r>
        <w:t xml:space="preserve">Transport Distance: 1500 km</w:t>
      </w:r>
    </w:p>
    <w:p>
      <w:pPr>
        <w:numPr>
          <w:ilvl w:val="0"/>
          <w:numId w:val="1016"/>
        </w:numPr>
        <w:pStyle w:val="Compact"/>
      </w:pPr>
      <w:r>
        <w:t xml:space="preserve">Road Freight EF: 0.062 kg CO2e/tonne-km = 0.000062 kg CO2e/kg-km (converting tonne to kg).</w:t>
      </w:r>
    </w:p>
    <w:p>
      <w:pPr>
        <w:pStyle w:val="FirstParagraph"/>
      </w:pPr>
      <w:r>
        <w:rPr>
          <w:bCs/>
          <w:b/>
        </w:rPr>
        <w:t xml:space="preserve">Calculation:</w:t>
      </w:r>
      <w:r>
        <w:br/>
      </w:r>
      <w:r>
        <w:t xml:space="preserve">Road Freight Emissions = 1.0 kg * 1500 km * 0.000062 kg CO2e/kg-km = 0.093 kg CO2e/unit</w:t>
      </w:r>
      <w:r>
        <w:br/>
      </w:r>
      <w:r>
        <w:t xml:space="preserve">Assuming Last-Mile delivery for a component (e.g. 1 package): 0.23 kg CO2e/package = 0.23 kg CO2e/unit</w:t>
      </w:r>
    </w:p>
    <w:p>
      <w:pPr>
        <w:pStyle w:val="BodyText"/>
      </w:pPr>
      <w:r>
        <w:rPr>
          <w:bCs/>
          <w:b/>
        </w:rPr>
        <w:t xml:space="preserve">Total Upstream Transport Emissions:</w:t>
      </w:r>
      <w:r>
        <w:t xml:space="preserve"> </w:t>
      </w:r>
      <w:r>
        <w:t xml:space="preserve">0.093 + 0.23 = 0.323 kg CO2e/unit</w:t>
      </w:r>
    </w:p>
    <w:bookmarkEnd w:id="36"/>
    <w:bookmarkStart w:id="37" w:name="X96395bd89ec6db027171ac3572f822cbd4814fa"/>
    <w:p>
      <w:pPr>
        <w:pStyle w:val="Heading4"/>
      </w:pPr>
      <w:r>
        <w:t xml:space="preserve">4.3.3 Category 11: Use of Sold Products (Downstream - Expanded Scope)</w:t>
      </w:r>
    </w:p>
    <w:p>
      <w:pPr>
        <w:pStyle w:val="FirstParagraph"/>
      </w:pPr>
      <w:r>
        <w:t xml:space="preserve">This calculation expands beyond the \'factory_gate\' boundary for a holistic view.</w:t>
      </w:r>
    </w:p>
    <w:p>
      <w:pPr>
        <w:numPr>
          <w:ilvl w:val="0"/>
          <w:numId w:val="1017"/>
        </w:numPr>
        <w:pStyle w:val="Compact"/>
      </w:pPr>
      <w:r>
        <w:t xml:space="preserve">Product Lifespan: 3 years</w:t>
      </w:r>
    </w:p>
    <w:p>
      <w:pPr>
        <w:numPr>
          <w:ilvl w:val="0"/>
          <w:numId w:val="1017"/>
        </w:numPr>
        <w:pStyle w:val="Compact"/>
      </w:pPr>
      <w:r>
        <w:t xml:space="preserve">Energy Consumption in Use: 5 kWh/year</w:t>
      </w:r>
    </w:p>
    <w:p>
      <w:pPr>
        <w:numPr>
          <w:ilvl w:val="0"/>
          <w:numId w:val="1017"/>
        </w:numPr>
        <w:pStyle w:val="Compact"/>
      </w:pPr>
      <w:r>
        <w:t xml:space="preserve">Average User Country Electricity Mix EF: 0.4 kg CO2e/kWh</w:t>
      </w:r>
    </w:p>
    <w:p>
      <w:pPr>
        <w:pStyle w:val="FirstParagraph"/>
      </w:pPr>
      <w:r>
        <w:rPr>
          <w:bCs/>
          <w:b/>
        </w:rPr>
        <w:t xml:space="preserve">Calculation:</w:t>
      </w:r>
      <w:r>
        <w:br/>
      </w:r>
      <w:r>
        <w:t xml:space="preserve">Use Phase Emissions = (5 kWh/year * 3 years) * 0.4 kg CO2e/kWh = 15 kWh * 0.4 kg CO2e/kWh = 6.0 kg CO2e/unit</w:t>
      </w:r>
    </w:p>
    <w:p>
      <w:pPr>
        <w:pStyle w:val="BodyText"/>
      </w:pPr>
      <w:r>
        <w:rPr>
          <w:bCs/>
          <w:b/>
        </w:rPr>
        <w:t xml:space="preserve">Estimated Use Phase Emissions:</w:t>
      </w:r>
      <w:r>
        <w:t xml:space="preserve"> </w:t>
      </w:r>
      <w:r>
        <w:t xml:space="preserve">6.0 kg CO2e/unit</w:t>
      </w:r>
    </w:p>
    <w:bookmarkEnd w:id="37"/>
    <w:bookmarkStart w:id="38" w:name="Xce43e3406b37098c9a361362386d0783107201f"/>
    <w:p>
      <w:pPr>
        <w:pStyle w:val="Heading4"/>
      </w:pPr>
      <w:r>
        <w:t xml:space="preserve">4.3.4 Category 12: End-of-Life Treatment of Sold Products (Downstream - Expanded Scope)</w:t>
      </w:r>
    </w:p>
    <w:p>
      <w:pPr>
        <w:pStyle w:val="FirstParagraph"/>
      </w:pPr>
      <w:r>
        <w:t xml:space="preserve">This calculation expands beyond the \'factory_gate\' boundary for a holistic view.</w:t>
      </w:r>
    </w:p>
    <w:p>
      <w:pPr>
        <w:numPr>
          <w:ilvl w:val="0"/>
          <w:numId w:val="1018"/>
        </w:numPr>
        <w:pStyle w:val="Compact"/>
      </w:pPr>
      <w:r>
        <w:t xml:space="preserve">Product Weight: 1.0 kg (Total BOM quantity, simplified for EoL)</w:t>
      </w:r>
    </w:p>
    <w:p>
      <w:pPr>
        <w:numPr>
          <w:ilvl w:val="0"/>
          <w:numId w:val="1018"/>
        </w:numPr>
        <w:pStyle w:val="Compact"/>
      </w:pPr>
      <w:r>
        <w:t xml:space="preserve">Recyclability Percentage: 70%</w:t>
      </w:r>
    </w:p>
    <w:p>
      <w:pPr>
        <w:numPr>
          <w:ilvl w:val="0"/>
          <w:numId w:val="1018"/>
        </w:numPr>
        <w:pStyle w:val="Compact"/>
      </w:pPr>
      <w:r>
        <w:t xml:space="preserve">Disposal Percentage: 30%</w:t>
      </w:r>
    </w:p>
    <w:p>
      <w:pPr>
        <w:numPr>
          <w:ilvl w:val="0"/>
          <w:numId w:val="1018"/>
        </w:numPr>
        <w:pStyle w:val="Compact"/>
      </w:pPr>
      <w:r>
        <w:t xml:space="preserve">Recycling Emissions EF: 0.2 kg CO2e/kg</w:t>
      </w:r>
    </w:p>
    <w:p>
      <w:pPr>
        <w:numPr>
          <w:ilvl w:val="0"/>
          <w:numId w:val="1018"/>
        </w:numPr>
        <w:pStyle w:val="Compact"/>
      </w:pPr>
      <w:r>
        <w:t xml:space="preserve">Avoided Emissions from Recycling EF: -1.5 kg CO2e/kg (representing virgin material offset).</w:t>
      </w:r>
    </w:p>
    <w:p>
      <w:pPr>
        <w:numPr>
          <w:ilvl w:val="0"/>
          <w:numId w:val="1018"/>
        </w:numPr>
        <w:pStyle w:val="Compact"/>
      </w:pPr>
      <w:r>
        <w:t xml:space="preserve">Disposal Emissions EF: 0.05 kg CO2e/kg</w:t>
      </w:r>
    </w:p>
    <w:p>
      <w:pPr>
        <w:pStyle w:val="FirstParagraph"/>
      </w:pPr>
      <w:r>
        <w:rPr>
          <w:bCs/>
          <w:b/>
        </w:rPr>
        <w:t xml:space="preserve">Calculation:</w:t>
      </w:r>
      <w:r>
        <w:br/>
      </w:r>
      <w:r>
        <w:t xml:space="preserve">Emissions from Recycling Process = (1.0 kg * 0.70) * 0.2 kg CO2e/kg = 0.14 kg CO2e/unit</w:t>
      </w:r>
      <w:r>
        <w:br/>
      </w:r>
      <w:r>
        <w:t xml:space="preserve">Avoided Emissions from Recycling = (1.0 kg * 0.70) * -1.5 kg CO2e/kg = -1.05 kg CO2e/unit</w:t>
      </w:r>
      <w:r>
        <w:br/>
      </w:r>
      <w:r>
        <w:t xml:space="preserve">Emissions from Disposal = (1.0 kg * 0.30) * 0.05 kg CO2e/kg = 0.015 kg CO2e/unit</w:t>
      </w:r>
    </w:p>
    <w:p>
      <w:pPr>
        <w:pStyle w:val="BodyText"/>
      </w:pPr>
      <w:r>
        <w:rPr>
          <w:bCs/>
          <w:b/>
        </w:rPr>
        <w:t xml:space="preserve">Net End-of-Life Emissions:</w:t>
      </w:r>
      <w:r>
        <w:t xml:space="preserve"> </w:t>
      </w:r>
      <w:r>
        <w:t xml:space="preserve">0.14 - 1.05 + 0.015 = -0.895 kg CO2e/unit (Net removal/avoidance)</w:t>
      </w:r>
    </w:p>
    <w:p>
      <w:pPr>
        <w:pStyle w:val="BodyText"/>
      </w:pPr>
      <w:r>
        <w:t xml:space="preserve">*Note: The negative value indicates a net carbon benefit due to a high recycling rate and associated avoided virgin material production emissions. The existence of "lkxlldxjuk" (circular/take-back programs) further supports achieving these recycling rates.*</w:t>
      </w:r>
    </w:p>
    <w:bookmarkEnd w:id="38"/>
    <w:bookmarkEnd w:id="39"/>
    <w:bookmarkStart w:id="40" w:name="X9d0be81dda6caf9fcb9f536ddb8c5b925648a86"/>
    <w:p>
      <w:pPr>
        <w:pStyle w:val="Heading3"/>
      </w:pPr>
      <w:r>
        <w:t xml:space="preserve">Summary of Emissions by Scope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(Manufacturing Process)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0.252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7.400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0.323</w:t>
            </w:r>
          </w:p>
        </w:tc>
      </w:tr>
      <w:tr>
        <w:tc>
          <w:tcPr>
            <w:gridSpan w:val="1"/>
            <w:vMerge w:val="continue"/>
          </w:tcPr>
          <w:p>
            <w:pPr/>
          </w:p>
        </w:tc>
        <w:tc>
          <w:tcPr/>
          <w:p>
            <w:pPr>
              <w:pStyle w:val="Compact"/>
              <w:jc w:val="left"/>
            </w:pPr>
            <w:r>
              <w:t xml:space="preserve">Category 11: Use of Sold Products (Expanded Scope)</w:t>
            </w:r>
          </w:p>
        </w:tc>
        <w:tc>
          <w:tcPr/>
          <w:p>
            <w:pPr>
              <w:pStyle w:val="Compact"/>
              <w:jc w:val="left"/>
            </w:pPr>
            <w:r>
              <w:t xml:space="preserve">6.000</w:t>
            </w:r>
          </w:p>
        </w:tc>
      </w:tr>
      <w:tr>
        <w:tc>
          <w:tcPr>
            <w:gridSpan w:val="1"/>
            <w:vMerge w:val="continue"/>
          </w:tcPr>
          <w:p>
            <w:pPr/>
          </w:p>
        </w:tc>
        <w:tc>
          <w:tcPr/>
          <w:p>
            <w:pPr>
              <w:pStyle w:val="Compact"/>
              <w:jc w:val="left"/>
            </w:pPr>
            <w:r>
              <w:t xml:space="preserve">Category 12: End-of-Life Treatment of Sold Products (Expanded Scope)</w:t>
            </w:r>
          </w:p>
        </w:tc>
        <w:tc>
          <w:tcPr/>
          <w:p>
            <w:pPr>
              <w:pStyle w:val="Compact"/>
              <w:jc w:val="left"/>
            </w:pPr>
            <w:r>
              <w:t xml:space="preserve">-0.895</w:t>
            </w:r>
          </w:p>
        </w:tc>
      </w:tr>
      <w:tr>
        <w:tc>
          <w:tcPr>
            <w:gridSpan w:val="2"/>
          </w:tcPr>
          <w:p>
            <w:pPr>
              <w:pStyle w:val="Compact"/>
              <w:jc w:val="left"/>
            </w:pPr>
            <w:r>
              <w:t xml:space="preserve">Total Product Carbon Footprint (excluding EoL expansion)</w:t>
            </w:r>
          </w:p>
        </w:tc>
        <w:tc>
          <w:tcPr/>
          <w:p>
            <w:pPr>
              <w:pStyle w:val="Compact"/>
              <w:jc w:val="left"/>
            </w:pPr>
            <w:r>
              <w:t xml:space="preserve">7.975</w:t>
            </w:r>
          </w:p>
        </w:tc>
      </w:tr>
      <w:tr>
        <w:tc>
          <w:tcPr>
            <w:gridSpan w:val="2"/>
          </w:tcPr>
          <w:p>
            <w:pPr>
              <w:pStyle w:val="Compact"/>
              <w:jc w:val="left"/>
            </w:pPr>
            <w:r>
              <w:t xml:space="preserve">Total Product Carbon Footprint (including EoL expansion)</w:t>
            </w:r>
          </w:p>
        </w:tc>
        <w:tc>
          <w:tcPr/>
          <w:p>
            <w:pPr>
              <w:pStyle w:val="Compact"/>
              <w:jc w:val="left"/>
            </w:pPr>
            <w:r>
              <w:t xml:space="preserve">13.080</w:t>
            </w:r>
          </w:p>
        </w:tc>
      </w:tr>
    </w:tbl>
    <w:p>
      <w:pPr>
        <w:pStyle w:val="BodyText"/>
      </w:pPr>
      <w:r>
        <w:t xml:space="preserve">*Note: The "Total Product Carbon Footprint (excluding EoL expansion)" reflects the \'factory_gate\' boundary plus upstream Scope 3. The "Total Product Carbon Footprint (including EoL expansion)" provides a more comprehensive cradle-to-grave perspective.*</w:t>
      </w:r>
    </w:p>
    <w:bookmarkEnd w:id="40"/>
    <w:bookmarkStart w:id="41" w:name="application-of-2026-lsr-update"/>
    <w:p>
      <w:pPr>
        <w:pStyle w:val="Heading3"/>
      </w:pPr>
      <w:r>
        <w:t xml:space="preserve">4.4 Application of 2026 LSR Update</w:t>
      </w:r>
    </w:p>
    <w:p>
      <w:pPr>
        <w:pStyle w:val="FirstParagraph"/>
      </w:pPr>
      <w:r>
        <w:t xml:space="preserve">While this PCF analysis for</w:t>
      </w:r>
      <w:r>
        <w:t xml:space="preserve"> </w:t>
      </w:r>
      <w:r>
        <w:rPr>
          <w:bCs/>
          <w:b/>
        </w:rPr>
        <w:t xml:space="preserve">qnyfzjuvhq</w:t>
      </w:r>
      <w:r>
        <w:t xml:space="preserve"> </w:t>
      </w:r>
      <w:r>
        <w:t xml:space="preserve">primarily focuses on manufactured goods and a \'factory_gate\' system boundary, the GHG Protocol Land Sector and Removals (LSR) Standard is crucial for capturing emissions and removals related to land use throughout the value chain. For a deeper future assessment, upstream agricultural inputs (if any) or materials with significant land-use change impacts would be evaluated under the LSR Standard to quantify associated GHG emissions and potential carbon removals. The LSR Standard also provides guidance for technological CO2 removals, which would be relevant if such technologies are integrated into the product\'s lifecycle or value chain.</w:t>
      </w:r>
    </w:p>
    <w:bookmarkEnd w:id="41"/>
    <w:bookmarkStart w:id="42" w:name="scope-3-compliance-statement"/>
    <w:p>
      <w:pPr>
        <w:pStyle w:val="Heading3"/>
      </w:pPr>
      <w:r>
        <w:t xml:space="preserve">4.5 Scope 3 Compliance Statement</w:t>
      </w:r>
    </w:p>
    <w:p>
      <w:pPr>
        <w:pStyle w:val="FirstParagraph"/>
      </w:pPr>
      <w:r>
        <w:t xml:space="preserve">This analysis endeavors to achieve at least 95% coverage for Scope 3 emissions, in line with the GHG Protocol\'s 2026 revisions. The disaggregation of data types for key Scope 3 categories has been considered to enhance transparency and improve data quality, moving towards a more robust and auditable reporting framework. A full, real-world implementation would require extensive primary data from all value chain partners to meet this threshold definitively.</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this analysis, the primary emission hotspots for</w:t>
      </w:r>
      <w:r>
        <w:t xml:space="preserve"> </w:t>
      </w:r>
      <w:r>
        <w:rPr>
          <w:bCs/>
          <w:b/>
        </w:rPr>
        <w:t xml:space="preserve">qnyfzjuvhq</w:t>
      </w:r>
      <w:r>
        <w:t xml:space="preserve"> </w:t>
      </w:r>
      <w:r>
        <w:t xml:space="preserve">are:</w:t>
      </w:r>
    </w:p>
    <w:p>
      <w:pPr>
        <w:numPr>
          <w:ilvl w:val="0"/>
          <w:numId w:val="1019"/>
        </w:numPr>
        <w:pStyle w:val="Compact"/>
      </w:pPr>
      <w:r>
        <w:rPr>
          <w:bCs/>
          <w:b/>
        </w:rPr>
        <w:t xml:space="preserve">Purchased Goods and Services (Materials):</w:t>
      </w:r>
      <w:r>
        <w:t xml:space="preserve"> </w:t>
      </w:r>
      <w:r>
        <w:t xml:space="preserve">This category constitutes the largest portion of the footprint, especially the "Aluminum Casing" and "Circuit Board". This highlights the high embodied carbon of these components.</w:t>
      </w:r>
    </w:p>
    <w:p>
      <w:pPr>
        <w:numPr>
          <w:ilvl w:val="0"/>
          <w:numId w:val="1019"/>
        </w:numPr>
        <w:pStyle w:val="Compact"/>
      </w:pPr>
      <w:r>
        <w:rPr>
          <w:bCs/>
          <w:b/>
        </w:rPr>
        <w:t xml:space="preserve">Use of Sold Products:</w:t>
      </w:r>
      <w:r>
        <w:t xml:space="preserve"> </w:t>
      </w:r>
      <w:r>
        <w:t xml:space="preserve">The energy consumption during the product\'s lifespan contributes significantly to its overall footprint, demonstrating the importance of energy efficiency in product design and user behavior.</w:t>
      </w:r>
    </w:p>
    <w:p>
      <w:pPr>
        <w:numPr>
          <w:ilvl w:val="0"/>
          <w:numId w:val="1019"/>
        </w:numPr>
        <w:pStyle w:val="Compact"/>
      </w:pPr>
      <w:r>
        <w:rPr>
          <w:bCs/>
          <w:b/>
        </w:rPr>
        <w:t xml:space="preserve">Manufacturing Energy:</w:t>
      </w:r>
      <w:r>
        <w:t xml:space="preserve"> </w:t>
      </w:r>
      <w:r>
        <w:t xml:space="preserve">While lower than materials and use phase, the electricity consumed during manufacturing is a notable contributor, emphasizing the value of renewable energy sourcing in production.</w:t>
      </w:r>
    </w:p>
    <w:bookmarkEnd w:id="44"/>
    <w:bookmarkStart w:id="45" w:name="data-reliability-and-limitations"/>
    <w:p>
      <w:pPr>
        <w:pStyle w:val="Heading3"/>
      </w:pPr>
      <w:r>
        <w:t xml:space="preserve">5.2 Data Reliability and Limitations</w:t>
      </w:r>
    </w:p>
    <w:p>
      <w:pPr>
        <w:pStyle w:val="FirstParagraph"/>
      </w:pPr>
      <w:r>
        <w:t xml:space="preserve">The reliability of this PCF analysis is contingent upon the accuracy and completeness of the input data.</w:t>
      </w:r>
    </w:p>
    <w:p>
      <w:pPr>
        <w:numPr>
          <w:ilvl w:val="0"/>
          <w:numId w:val="1020"/>
        </w:numPr>
        <w:pStyle w:val="Compact"/>
      </w:pPr>
      <w:r>
        <w:rPr>
          <w:bCs/>
          <w:b/>
        </w:rPr>
        <w:t xml:space="preserve">Primary Data:</w:t>
      </w:r>
      <w:r>
        <w:t xml:space="preserve"> </w:t>
      </w:r>
      <w:r>
        <w:t xml:space="preserve">The BOM data, including \'Total Carbon\', is treated as primary data provided by the user.</w:t>
      </w:r>
    </w:p>
    <w:p>
      <w:pPr>
        <w:numPr>
          <w:ilvl w:val="0"/>
          <w:numId w:val="1020"/>
        </w:numPr>
        <w:pStyle w:val="Compact"/>
      </w:pPr>
      <w:r>
        <w:rPr>
          <w:bCs/>
          <w:b/>
        </w:rPr>
        <w:t xml:space="preserve">Secondary Data:</w:t>
      </w:r>
      <w:r>
        <w:t xml:space="preserve"> </w:t>
      </w:r>
      <w:r>
        <w:t xml:space="preserve">Illustrative emission factors for transport, electricity grids, and end-of-life scenarios are based on industry averages (e.g., assumed Ecoinvent/DEFRA alignment). In a real-world scenario, more specific, geographically relevant, and up-to-date emission factors would enhance accuracy.</w:t>
      </w:r>
    </w:p>
    <w:p>
      <w:pPr>
        <w:numPr>
          <w:ilvl w:val="0"/>
          <w:numId w:val="1020"/>
        </w:numPr>
        <w:pStyle w:val="Compact"/>
      </w:pPr>
      <w:r>
        <w:rPr>
          <w:bCs/>
          <w:b/>
        </w:rPr>
        <w:t xml:space="preserve">Boundary Limitations:</w:t>
      </w:r>
      <w:r>
        <w:t xml:space="preserve"> </w:t>
      </w:r>
      <w:r>
        <w:t xml:space="preserve">The \'factory_gate\' system boundary, while clearly defined, limits the direct inclusion of downstream impacts in the total PCF calculation unless expanded (as shown for Use Phase and EoL).</w:t>
      </w:r>
    </w:p>
    <w:p>
      <w:pPr>
        <w:numPr>
          <w:ilvl w:val="0"/>
          <w:numId w:val="1020"/>
        </w:numPr>
        <w:pStyle w:val="Compact"/>
      </w:pPr>
      <w:r>
        <w:rPr>
          <w:bCs/>
          <w:b/>
        </w:rPr>
        <w:t xml:space="preserve">Assumptions:</w:t>
      </w:r>
      <w:r>
        <w:t xml:space="preserve"> </w:t>
      </w:r>
      <w:r>
        <w:t xml:space="preserve">Several assumptions were made regarding transport modes, distances, and end-of-life scenarios due to the generic nature of some input parameters.</w:t>
      </w:r>
    </w:p>
    <w:bookmarkEnd w:id="45"/>
    <w:bookmarkStart w:id="46" w:name="recommendations"/>
    <w:p>
      <w:pPr>
        <w:pStyle w:val="Heading3"/>
      </w:pPr>
      <w:r>
        <w:t xml:space="preserve">5.3 Recommendations</w:t>
      </w:r>
    </w:p>
    <w:p>
      <w:pPr>
        <w:numPr>
          <w:ilvl w:val="0"/>
          <w:numId w:val="1021"/>
        </w:numPr>
        <w:pStyle w:val="Compact"/>
      </w:pPr>
      <w:r>
        <w:rPr>
          <w:bCs/>
          <w:b/>
        </w:rPr>
        <w:t xml:space="preserve">Material Optimization:</w:t>
      </w:r>
      <w:r>
        <w:t xml:space="preserve"> </w:t>
      </w:r>
      <w:r>
        <w:t xml:space="preserve">Investigate opportunities for using lower-carbon alternative materials or increasing recycled content in the Aluminum Casing and Plastic Enclosure. Engaging with suppliers for primary data on their production emissions will be crucial for Scope 3 accuracy and reduction efforts.</w:t>
      </w:r>
    </w:p>
    <w:p>
      <w:pPr>
        <w:numPr>
          <w:ilvl w:val="0"/>
          <w:numId w:val="1021"/>
        </w:numPr>
        <w:pStyle w:val="Compact"/>
      </w:pPr>
      <w:r>
        <w:rPr>
          <w:bCs/>
          <w:b/>
        </w:rPr>
        <w:t xml:space="preserve">Energy Efficiency in Use:</w:t>
      </w:r>
      <w:r>
        <w:t xml:space="preserve"> </w:t>
      </w:r>
      <w:r>
        <w:t xml:space="preserve">Explore design improvements to reduce the energy consumption of qnyfzjuvhq during its operational lifespan. This could involve more energy-efficient components or smart power management features.</w:t>
      </w:r>
    </w:p>
    <w:p>
      <w:pPr>
        <w:numPr>
          <w:ilvl w:val="0"/>
          <w:numId w:val="1021"/>
        </w:numPr>
        <w:pStyle w:val="Compact"/>
      </w:pPr>
      <w:r>
        <w:rPr>
          <w:bCs/>
          <w:b/>
        </w:rPr>
        <w:t xml:space="preserve">Renewable Energy Procurement:</w:t>
      </w:r>
      <w:r>
        <w:t xml:space="preserve"> </w:t>
      </w:r>
      <w:r>
        <w:t xml:space="preserve">Continue and expand the use of renewable energy at the manufacturing facility. Investigate options for procuring certified renewable energy or investing in on-site renewable generation to further reduce Scope 2 emissions.</w:t>
      </w:r>
    </w:p>
    <w:p>
      <w:pPr>
        <w:numPr>
          <w:ilvl w:val="0"/>
          <w:numId w:val="1021"/>
        </w:numPr>
        <w:pStyle w:val="Compact"/>
      </w:pPr>
      <w:r>
        <w:rPr>
          <w:bCs/>
          <w:b/>
        </w:rPr>
        <w:t xml:space="preserve">Circular Economy Initiatives:</w:t>
      </w:r>
      <w:r>
        <w:t xml:space="preserve"> </w:t>
      </w:r>
      <w:r>
        <w:t xml:space="preserve">Strengthen circular and take-back programs to maximize product recyclability and material recovery, further enhancing the net positive impact at end-of-life.</w:t>
      </w:r>
    </w:p>
    <w:p>
      <w:pPr>
        <w:numPr>
          <w:ilvl w:val="0"/>
          <w:numId w:val="1021"/>
        </w:numPr>
        <w:pStyle w:val="Compact"/>
      </w:pPr>
      <w:r>
        <w:rPr>
          <w:bCs/>
          <w:b/>
        </w:rPr>
        <w:t xml:space="preserve">Data Enhancement:</w:t>
      </w:r>
      <w:r>
        <w:t xml:space="preserve"> </w:t>
      </w:r>
      <w:r>
        <w:t xml:space="preserve">Prioritize collecting primary activity data for all Scope 3 categories, especially for upstream logistics and supplier-specific material emissions, to improve the accuracy and robustness of future PCF assessments and meet evolving GHG Protocol requirements.</w: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qnyfzjuvhq</dc:title>
  <dc:creator/>
  <dc:description>High-detail Product Carbon Footprint (PCF) analysis for product qnyfzjuvhq by qovnogrjuj, adhering to GHG Protocol and 2026 updates, performed by Senior Sustainability Consultant lwksdztrgo.</dc:description>
  <dc:language>en</dc:language>
  <cp:keywords/>
  <dcterms:created xsi:type="dcterms:W3CDTF">2026-07-15T09:38:48Z</dcterms:created>
  <dcterms:modified xsi:type="dcterms:W3CDTF">2026-07-15T09:38:48Z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