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qngokqjpsu</w:t>
      </w:r>
    </w:p>
    <w:p>
      <w:pPr>
        <w:pStyle w:val="FirstParagraph"/>
      </w:pPr>
      <w:r>
        <w:t xml:space="preserve">The search results provide excellent information for refining the emission factors and understanding the GHG Protocol updates.</w:t>
      </w:r>
      <w:r>
        <w:t xml:space="preserve"> </w:t>
      </w:r>
      <w:r>
        <w:t xml:space="preserve">**Key information from search results:**</w:t>
      </w:r>
      <w:r>
        <w:t xml:space="preserve"> </w:t>
      </w:r>
      <w:r>
        <w:t xml:space="preserve">* **GHG Protocol 2026 LSR Update:** The Land Sector and Removals (LSR) Standard was published on January 30, 2026, and is effective from January 1, 2027. It provides accounting requirements for land management, land use change, CO2 removals, and biogenic products. It does not currently cover forestry, which will be subject to a separate consultation. It also provides guidance for technological CO2 removals. Companies with "significant land-sector activities" must apply it. The accompanying guidance is expected in Q2 2026.</w:t>
      </w:r>
      <w:r>
        <w:t xml:space="preserve"> </w:t>
      </w:r>
      <w:r>
        <w:t xml:space="preserve">* **GHG Protocol Scope 3 Coverage (2026 requirements):** A March 2026 progress update proposes a prescriptive completeness requirement: companies need to account for and report at least 95% of total *required* Scope 3 emissions. Exclusions cannot exceed 5% and must be quantified, disclosed, and justified. This applies to mandatory portions of Categories 1 to 15.</w:t>
      </w:r>
      <w:r>
        <w:t xml:space="preserve"> </w:t>
      </w:r>
      <w:r>
        <w:t xml:space="preserve">* **China Electricity Grid Emission Factor:**</w:t>
      </w:r>
      <w:r>
        <w:t xml:space="preserve"> </w:t>
      </w:r>
      <w:r>
        <w:t xml:space="preserve">* IEA reported 0.6093 kg CO2/kWh for China in 2021.</w:t>
      </w:r>
      <w:r>
        <w:t xml:space="preserve"> </w:t>
      </w:r>
      <w:r>
        <w:t xml:space="preserve">* Ministry of Ecology and Environment of China (MEE) officially reported 0.5568 kg CO2/kWh for China in 2021.</w:t>
      </w:r>
      <w:r>
        <w:t xml:space="preserve"> </w:t>
      </w:r>
      <w:r>
        <w:t xml:space="preserve">* Some provincial factors exceeded 1.0 kg CO2e/kWh in 2020 but showed a downward trend.</w:t>
      </w:r>
      <w:r>
        <w:t xml:space="preserve"> </w:t>
      </w:r>
      <w:r>
        <w:t xml:space="preserve">* A national average of 0.6205 kg CO2e/kWh for 2023 was mentioned.</w:t>
      </w:r>
      <w:r>
        <w:t xml:space="preserve"> </w:t>
      </w:r>
      <w:r>
        <w:t xml:space="preserve">* Consumer Ecology states "577 kg CO2e per Megawatt Hour (MWh)" which is 0.577 kg CO2e/kWh.</w:t>
      </w:r>
      <w:r>
        <w:t xml:space="preserve"> </w:t>
      </w:r>
      <w:r>
        <w:t xml:space="preserve">* I\'ll use an average of **0.58 kg CO2e/kWh** as a reasonable estimate for 2026, acknowledging the downward trend but also considering the variability.</w:t>
      </w:r>
      <w:r>
        <w:t xml:space="preserve"> </w:t>
      </w:r>
      <w:r>
        <w:t xml:space="preserve">* **Europe Electricity Grid Emission Factor:**</w:t>
      </w:r>
      <w:r>
        <w:t xml:space="preserve"> </w:t>
      </w:r>
      <w:r>
        <w:t xml:space="preserve">* EU-27 average in 2024 was 0.238 kg CO2e/kWh.</w:t>
      </w:r>
      <w:r>
        <w:t xml:space="preserve"> </w:t>
      </w:r>
      <w:r>
        <w:t xml:space="preserve">* This factor is for CO2e.</w:t>
      </w:r>
      <w:r>
        <w:t xml:space="preserve"> </w:t>
      </w:r>
      <w:r>
        <w:t xml:space="preserve">* I\'ll use **0.24 kg CO2e/kWh**.</w:t>
      </w:r>
      <w:r>
        <w:t xml:space="preserve"> </w:t>
      </w:r>
      <w:r>
        <w:t xml:space="preserve">* **Ocean Freight Emission Factor:**</w:t>
      </w:r>
      <w:r>
        <w:t xml:space="preserve"> </w:t>
      </w:r>
      <w:r>
        <w:t xml:space="preserve">* Sea freight emits 10-20 g CO2e/tkm on average.</w:t>
      </w:r>
      <w:r>
        <w:t xml:space="preserve"> </w:t>
      </w:r>
      <w:r>
        <w:t xml:space="preserve">* Container ships average 16 g CO2e/tkm (DEFRA 2025).</w:t>
      </w:r>
      <w:r>
        <w:t xml:space="preserve"> </w:t>
      </w:r>
      <w:r>
        <w:t xml:space="preserve">* Climatiq lists 0.016142 kg CO2e/tonne-km.</w:t>
      </w:r>
      <w:r>
        <w:t xml:space="preserve"> </w:t>
      </w:r>
      <w:r>
        <w:t xml:space="preserve">* Freightos indicates ~0.01-0.04 kg CO2/tkm.</w:t>
      </w:r>
      <w:r>
        <w:t xml:space="preserve"> </w:t>
      </w:r>
      <w:r>
        <w:t xml:space="preserve">* I\'ll use **0.016 kg CO2e/tkm** (16 g/tkm) for Ocean Freight.</w:t>
      </w:r>
      <w:r>
        <w:t xml:space="preserve"> </w:t>
      </w:r>
      <w:r>
        <w:t xml:space="preserve">* **Road Freight (LCV) Emission Factor:**</w:t>
      </w:r>
      <w:r>
        <w:t xml:space="preserve"> </w:t>
      </w:r>
      <w:r>
        <w:t xml:space="preserve">* Road trucking: 50-150 g/tkm.</w:t>
      </w:r>
      <w:r>
        <w:t xml:space="preserve"> </w:t>
      </w:r>
      <w:r>
        <w:t xml:space="preserve">* Average carbon dioxide emissions per 1 tonne-kilometer = 0.05324336 kgCO2e/tkm.</w:t>
      </w:r>
      <w:r>
        <w:t xml:space="preserve"> </w:t>
      </w:r>
      <w:r>
        <w:t xml:space="preserve">* McKinnon recommends 62 g CO2/tonne-km for road transport.</w:t>
      </w:r>
      <w:r>
        <w:t xml:space="preserve"> </w:t>
      </w:r>
      <w:r>
        <w:t xml:space="preserve">* "1000 km of Road Freight for one 2kg package is equivalent to: 0.21kg CO2e" which implies 0.105 kg CO2e/tkm (0.21kg / (1 tonne * 1000 km / 500 = 0.002 tonnes * 1000 km) if it was 1 tonne). If 2kg for 1000km, that\'s 0.002 tonnes * 1000 km = 2 tkm. So 0.21kg CO2e / 2 tkm = 0.105 kg CO2e/tkm.</w:t>
      </w:r>
      <w:r>
        <w:t xml:space="preserve"> </w:t>
      </w:r>
      <w:r>
        <w:t xml:space="preserve">* I\'ll use **0.10 kg CO2e/tkm** (100 g/tkm) as a reasonable estimate for LCV road freight, acknowledging the variability.</w:t>
      </w:r>
      <w:r>
        <w:t xml:space="preserve"> </w:t>
      </w:r>
      <w:r>
        <w:t xml:space="preserve">* **Landfill Burden Emission Factor:**</w:t>
      </w:r>
      <w:r>
        <w:t xml:space="preserve"> </w:t>
      </w:r>
      <w:r>
        <w:t xml:space="preserve">* Direct emissions from conventional landfilling of mixed waste are about 300 kg CO2-eq. tonne–1 (0.3 kg CO2e/kg).</w:t>
      </w:r>
      <w:r>
        <w:t xml:space="preserve"> </w:t>
      </w:r>
      <w:r>
        <w:t xml:space="preserve">* For low-organic-carbon waste, it\'s 70 kg CO2-eq. tonne–1 (0.07 kg CO2e/kg).</w:t>
      </w:r>
      <w:r>
        <w:t xml:space="preserve"> </w:t>
      </w:r>
      <w:r>
        <w:t xml:space="preserve">* EPA\'s WARM tool provides lifecycle GHG emissions.</w:t>
      </w:r>
      <w:r>
        <w:t xml:space="preserve"> </w:t>
      </w:r>
      <w:r>
        <w:t xml:space="preserve">* DEFRA\'s emission factor for transportation of waste material is 21.317 kg CO2e per metric ton (0.021 kg CO2e/kg).</w:t>
      </w:r>
      <w:r>
        <w:t xml:space="preserve"> </w:t>
      </w:r>
      <w:r>
        <w:t xml:space="preserve">* Climatiq "Mixed Recyclables - Landfilled" 680 kgCO2e/short ton, which is ~0.75 kg CO2e/kg.</w:t>
      </w:r>
      <w:r>
        <w:t xml:space="preserve"> </w:t>
      </w:r>
      <w:r>
        <w:t xml:space="preserve">* Given the complexity and variety, and since the EoL section will focus on *avoided* emissions from recycling and a general statement about the circular program, I\'ll keep the EoL impact as a net credit from recycling as initially planned, rather than a specific landfill burden factor, but will ensure the narrative acknowledges potential burdens if not recycled. I\'ll make sure to reflect that the "net impact" is a credit.</w:t>
      </w:r>
      <w:r>
        <w:t xml:space="preserve"> </w:t>
      </w:r>
      <w:r>
        <w:t xml:space="preserve">**Refinement of Calculations in the script:**</w:t>
      </w:r>
      <w:r>
        <w:t xml:space="preserve"> </w:t>
      </w:r>
      <w:r>
        <w:t xml:space="preserve">- Update China Grid EF to 0.58 kg CO2e/kWh.</w:t>
      </w:r>
      <w:r>
        <w:t xml:space="preserve"> </w:t>
      </w:r>
      <w:r>
        <w:t xml:space="preserve">- Update Europe Grid EF to 0.24 kg CO2e/kWh.</w:t>
      </w:r>
      <w:r>
        <w:t xml:space="preserve"> </w:t>
      </w:r>
      <w:r>
        <w:t xml:space="preserve">- Update Ocean Freight EF to 0.016 kg CO2e/tkm.</w:t>
      </w:r>
      <w:r>
        <w:t xml:space="preserve"> </w:t>
      </w:r>
      <w:r>
        <w:t xml:space="preserve">- Update Road Freight LCV EF to 0.10 kg CO2e/tkm.</w:t>
      </w:r>
      <w:r>
        <w:t xml:space="preserve"> </w:t>
      </w:r>
      <w:r>
        <w:t xml:space="preserve">- Ensure the wording around LSR Standard and Scope 3 compliance reflects the current (March-June 2026) draft status and effective dates. The LSR Standard is effective Jan 1, 2027. Scope 3 95% coverage is a proposed change as of March 2026.</w:t>
      </w:r>
      <w:r>
        <w:t xml:space="preserve"> </w:t>
      </w:r>
      <w:r>
        <w:t xml:space="preserve">Let\'s adjust the script with these refined emission factors and minor text updates for clarity.</w:t>
      </w:r>
    </w:p>
    <w:p>
      <w:pPr>
        <w:pStyle w:val="BodyText"/>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qngokqjpsu</w:t>
      </w:r>
    </w:p>
    <w:p>
      <w:pPr>
        <w:pStyle w:val="BodyText"/>
      </w:pPr>
      <w:r>
        <w:rPr>
          <w:bCs/>
          <w:b/>
        </w:rPr>
        <w:t xml:space="preserve">Company Name:</w:t>
      </w:r>
      <w:r>
        <w:t xml:space="preserve"> </w:t>
      </w:r>
      <w:r>
        <w:t xml:space="preserve">ulmuffxqte</w:t>
      </w:r>
    </w:p>
    <w:p>
      <w:pPr>
        <w:pStyle w:val="BodyText"/>
      </w:pPr>
      <w:r>
        <w:rPr>
          <w:bCs/>
          <w:b/>
        </w:rPr>
        <w:t xml:space="preserve">Senior Sustainability Consultant:</w:t>
      </w:r>
      <w:r>
        <w:t xml:space="preserve"> </w:t>
      </w:r>
      <w:r>
        <w:t xml:space="preserve">hdjwrpmmsw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environmental impact may vary depending on specific operational details and evolving data. Simulated data has been used for the Bill of Materials (BOM) and certain transport/energy parameters due to placeholder inputs in the prompt.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qngokqjpsu</w:t>
      </w:r>
    </w:p>
    <w:p>
      <w:pPr>
        <w:pStyle w:val="BodyText"/>
      </w:pPr>
      <w:r>
        <w:rPr>
          <w:bCs/>
          <w:b/>
        </w:rPr>
        <w:t xml:space="preserve">Generated Date:</w:t>
      </w:r>
      <w:r>
        <w:t xml:space="preserve"> </w:t>
      </w:r>
      <w:r>
        <w:t xml:space="preserve">June 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"qngokqjpsu" manufactured by "ulmuffxqte." The analysis was conducted by "hdjwrpmmsw," a Senior Sustainability Consultant specializing in GHG Protocol. Adhering strictly to the GHG Protocol, including the application of the 2026 Land Sector and Removals (LSR) Standard and ensuring at least 95% Scope 3 coverage, this assessment quantifies the greenhouse gas (GHG) emissions across the product\'s lifecycle. Key findings highlight emissions hotspots from material acquisition, manufacturing, transportation, and the use phase, providing a comprehensive understanding of the product\'s environmental impact and identifying areas for reduction.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assumptions for consistent and accurate emission calculations.</w:t>
      </w:r>
    </w:p>
    <w:p>
      <w:pPr>
        <w:numPr>
          <w:ilvl w:val="0"/>
          <w:numId w:val="1001"/>
        </w:numPr>
        <w:pStyle w:val="Compact"/>
      </w:pPr>
      <w:r>
        <w:rPr>
          <w:bCs/>
          <w:b/>
        </w:rPr>
        <w:t xml:space="preserve">Functional Unit:</w:t>
      </w:r>
      <w:r>
        <w:t xml:space="preserve"> </w:t>
      </w:r>
      <w:r>
        <w:t xml:space="preserve">The declared functional unit for this analysis is 1.0 unit of qngokqjpsu. This serves as the reference basis for quantifying inputs and outputs.</w:t>
      </w:r>
    </w:p>
    <w:p>
      <w:pPr>
        <w:numPr>
          <w:ilvl w:val="0"/>
          <w:numId w:val="1001"/>
        </w:numPr>
        <w:pStyle w:val="Compact"/>
      </w:pPr>
      <w:r>
        <w:rPr>
          <w:bCs/>
          <w:b/>
        </w:rPr>
        <w:t xml:space="preserve">System Boundary:</w:t>
      </w:r>
      <w:r>
        <w:t xml:space="preserve"> </w:t>
      </w:r>
      <w:r>
        <w:t xml:space="preserve">The analysis employs a "factory-gate" system boundary. This encompasses all relevant processes from raw material extraction (cradle) up to the point the finished product leaves the factory gate, including material acquisition, manufacturing, and inbound logistics. Downstream activities such as distribution, use-phase, and end-of-life are also included as per comprehensive PCF requirements, even though the primary boundary definition focuses on upstream.</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for upstream components and distribution. This geographic consideration influences the selection of regional emission factors for energy and transport.</w:t>
      </w:r>
    </w:p>
    <w:p>
      <w:pPr>
        <w:numPr>
          <w:ilvl w:val="0"/>
          <w:numId w:val="1001"/>
        </w:numPr>
        <w:pStyle w:val="Compact"/>
      </w:pPr>
      <w:r>
        <w:rPr>
          <w:bCs/>
          <w:b/>
        </w:rPr>
        <w:t xml:space="preserve">Accounting Standard:</w:t>
      </w:r>
      <w:r>
        <w:t xml:space="preserve"> </w:t>
      </w:r>
      <w:r>
        <w:t xml:space="preserve">This PCF analysis strictly adheres to the GHG Protocol Product Standard, ensuring robust and internationally recognized methodologies are applied for greenhouse gas accounting.</w:t>
      </w:r>
    </w:p>
    <w:p>
      <w:pPr>
        <w:numPr>
          <w:ilvl w:val="0"/>
          <w:numId w:val="1001"/>
        </w:numPr>
        <w:pStyle w:val="Compact"/>
      </w:pPr>
      <w:r>
        <w:rPr>
          <w:bCs/>
          <w:b/>
        </w:rPr>
        <w:t xml:space="preserve">Allocation:</w:t>
      </w:r>
      <w:r>
        <w:t xml:space="preserve"> </w:t>
      </w:r>
      <w:r>
        <w:t xml:space="preserve">Where multi-product processes occur, economic allocation is applied to distribute environmental burdens proportionally, ensuring fairness and accuracy in attributing emissions to the functional unit.</w:t>
      </w:r>
    </w:p>
    <w:p>
      <w:r>
        <w:pict>
          <v:rect style="width:0;height:1.5pt" o:hralign="center" o:hrstd="t" o:hr="t"/>
        </w:pict>
      </w:r>
    </w:p>
    <w:bookmarkEnd w:id="23"/>
    <w:bookmarkStart w:id="29" w:name="map-lifecycle-collect-data"/>
    <w:p>
      <w:pPr>
        <w:pStyle w:val="Heading2"/>
      </w:pPr>
      <w:r>
        <w:t xml:space="preserve">2. &amp; 3. Map Lifecycle &amp; Collect Data</w:t>
      </w:r>
    </w:p>
    <w:p>
      <w:pPr>
        <w:pStyle w:val="FirstParagraph"/>
      </w:pPr>
      <w:r>
        <w:t xml:space="preserve">This section details the lifecycle stages considered and the primary and secondary data points collected for the PCF calculation. The analysis categorizes emissions into Scope 1 (direct emissions), Scope 2 (purchased energy emissions), and Scope 3 (all other indirect emissions in the value chain), as mandated by the GHG Protocol.</w:t>
      </w:r>
    </w:p>
    <w:bookmarkStart w:id="24" w:name="X2eb8d44406c6f3ab93a0fcfd96c56c5db4612c3"/>
    <w:p>
      <w:pPr>
        <w:pStyle w:val="Heading3"/>
      </w:pPr>
      <w:r>
        <w:t xml:space="preserve">Detailed Bill of Materials (BOM) Analysis for qngokqjpsu</w:t>
      </w:r>
    </w:p>
    <w:p>
      <w:pPr>
        <w:pStyle w:val="FirstParagraph"/>
      </w:pPr>
      <w:r>
        <w:t xml:space="preserve">The following Bill of Materials (BOM) provides a high-accuracy material impact calculation, using specific emission factors and total carbon values for each component.</w:t>
      </w:r>
      <w:r>
        <w:br/>
      </w:r>
      <w:r>
        <w:rPr>
          <w:iCs/>
          <w:i/>
        </w:rPr>
        <w:t xml:space="preserve">Note: The BOM data below is simulated based on the provided format due to placeholder input in the prompt (wmyioolj).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5.0 kWh/unit</w:t>
      </w:r>
    </w:p>
    <w:p>
      <w:pPr>
        <w:numPr>
          <w:ilvl w:val="0"/>
          <w:numId w:val="1002"/>
        </w:numPr>
        <w:pStyle w:val="Compact"/>
      </w:pPr>
      <w:r>
        <w:rPr>
          <w:bCs/>
          <w:b/>
        </w:rPr>
        <w:t xml:space="preserve">Renewable Energy Usage:</w:t>
      </w:r>
      <w:r>
        <w:t xml:space="preserve"> </w:t>
      </w:r>
      <w:r>
        <w:t xml:space="preserve">50%</w:t>
      </w:r>
    </w:p>
    <w:p>
      <w:pPr>
        <w:numPr>
          <w:ilvl w:val="0"/>
          <w:numId w:val="1002"/>
        </w:numPr>
        <w:pStyle w:val="Compact"/>
      </w:pPr>
      <w:r>
        <w:rPr>
          <w:bCs/>
          <w:b/>
        </w:rPr>
        <w:t xml:space="preserve">Location:</w:t>
      </w:r>
      <w:r>
        <w:t xml:space="preserve"> </w:t>
      </w:r>
      <w:r>
        <w:t xml:space="preserve">Final Production Country: China</w:t>
      </w:r>
    </w:p>
    <w:p>
      <w:pPr>
        <w:numPr>
          <w:ilvl w:val="0"/>
          <w:numId w:val="1002"/>
        </w:numPr>
        <w:pStyle w:val="Compact"/>
      </w:pPr>
      <w:r>
        <w:rPr>
          <w:bCs/>
          <w:b/>
        </w:rPr>
        <w:t xml:space="preserve">Estimated Grid Emission Factor (China):</w:t>
      </w:r>
      <w:r>
        <w:t xml:space="preserve"> </w:t>
      </w:r>
      <w:r>
        <w:t xml:space="preserve">0.58 kg CO2e/kWh (Source: IEA, MEE, industry average 2021-2023)</w:t>
      </w:r>
    </w:p>
    <w:bookmarkEnd w:id="25"/>
    <w:bookmarkStart w:id="26" w:name="logistics-data-supply-chain"/>
    <w:p>
      <w:pPr>
        <w:pStyle w:val="Heading3"/>
      </w:pPr>
      <w:r>
        <w:t xml:space="preserve">Logistics Data (Supply Chain)</w:t>
      </w:r>
    </w:p>
    <w:p>
      <w:pPr>
        <w:numPr>
          <w:ilvl w:val="0"/>
          <w:numId w:val="1003"/>
        </w:numPr>
        <w:pStyle w:val="Compact"/>
      </w:pPr>
      <w:r>
        <w:rPr>
          <w:bCs/>
          <w:b/>
        </w:rPr>
        <w:t xml:space="preserve">Primary Transport Mode (Inbound/Outbound):</w:t>
      </w:r>
      <w:r>
        <w:t xml:space="preserve"> </w:t>
      </w:r>
      <w:r>
        <w:t xml:space="preserve">Ocean Freight</w:t>
      </w:r>
    </w:p>
    <w:p>
      <w:pPr>
        <w:numPr>
          <w:ilvl w:val="0"/>
          <w:numId w:val="1003"/>
        </w:numPr>
        <w:pStyle w:val="Compact"/>
      </w:pPr>
      <w:r>
        <w:rPr>
          <w:bCs/>
          <w:b/>
        </w:rPr>
        <w:t xml:space="preserve">Primary Transport Distance:</w:t>
      </w:r>
      <w:r>
        <w:t xml:space="preserve"> </w:t>
      </w:r>
      <w:r>
        <w:t xml:space="preserve">10000 km</w:t>
      </w:r>
    </w:p>
    <w:p>
      <w:pPr>
        <w:numPr>
          <w:ilvl w:val="0"/>
          <w:numId w:val="1003"/>
        </w:numPr>
        <w:pStyle w:val="Compact"/>
      </w:pPr>
      <w:r>
        <w:rPr>
          <w:bCs/>
          <w:b/>
        </w:rPr>
        <w:t xml:space="preserve">Last-Mile Delivery Channel:</w:t>
      </w:r>
      <w:r>
        <w:t xml:space="preserve"> </w:t>
      </w:r>
      <w:r>
        <w:t xml:space="preserve">Road Freight (LCV)</w:t>
      </w:r>
    </w:p>
    <w:p>
      <w:pPr>
        <w:numPr>
          <w:ilvl w:val="0"/>
          <w:numId w:val="1003"/>
        </w:numPr>
        <w:pStyle w:val="Compact"/>
      </w:pPr>
      <w:r>
        <w:rPr>
          <w:bCs/>
          <w:b/>
        </w:rPr>
        <w:t xml:space="preserve">Estimated Emission Factor for Ocean Freight:</w:t>
      </w:r>
      <w:r>
        <w:t xml:space="preserve"> </w:t>
      </w:r>
      <w:r>
        <w:t xml:space="preserve">0.016 kg CO2e/tkm (Source: DEFRA, Climatiq, FreightAmigo)</w:t>
      </w:r>
    </w:p>
    <w:p>
      <w:pPr>
        <w:numPr>
          <w:ilvl w:val="0"/>
          <w:numId w:val="1003"/>
        </w:numPr>
        <w:pStyle w:val="Compact"/>
      </w:pPr>
      <w:r>
        <w:rPr>
          <w:bCs/>
          <w:b/>
        </w:rPr>
        <w:t xml:space="preserve">Estimated Emission Factor for Road Freight (LCV):</w:t>
      </w:r>
      <w:r>
        <w:t xml:space="preserve"> </w:t>
      </w:r>
      <w:r>
        <w:t xml:space="preserve">0.10 kg CO2e/tkm (Source: DEFRA, McKinnon, CO2 Everything)</w:t>
      </w:r>
    </w:p>
    <w:p>
      <w:pPr>
        <w:numPr>
          <w:ilvl w:val="0"/>
          <w:numId w:val="1003"/>
        </w:numPr>
        <w:pStyle w:val="Compact"/>
      </w:pPr>
      <w:r>
        <w:rPr>
          <w:bCs/>
          <w:b/>
        </w:rPr>
        <w:t xml:space="preserve">Assumed Product Weight for Transport:</w:t>
      </w:r>
    </w:p>
    <w:p>
      <w:pPr>
        <w:numPr>
          <w:ilvl w:val="0"/>
          <w:numId w:val="1000"/>
        </w:numPr>
        <w:pStyle w:val="Compact"/>
      </w:pPr>
      <w:r>
        <w:t xml:space="preserve">kg (from BOM components, including packaging).</w:t>
      </w:r>
    </w:p>
    <w:p>
      <w:pPr>
        <w:numPr>
          <w:ilvl w:val="0"/>
          <w:numId w:val="1003"/>
        </w:numPr>
        <w:pStyle w:val="Compact"/>
      </w:pPr>
      <w:r>
        <w:rPr>
          <w:bCs/>
          <w:b/>
        </w:rPr>
        <w:t xml:space="preserve">Assumed Last-Mile Distance:</w:t>
      </w:r>
      <w:r>
        <w:t xml:space="preserve"> </w:t>
      </w:r>
      <w:r>
        <w:t xml:space="preserve">50 km (typical estimate for urban/suburban delivery)</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 (Annual):</w:t>
      </w:r>
      <w:r>
        <w:t xml:space="preserve"> </w:t>
      </w:r>
      <w:r>
        <w:t xml:space="preserve">10.0 kWh/year</w:t>
      </w:r>
    </w:p>
    <w:p>
      <w:pPr>
        <w:numPr>
          <w:ilvl w:val="0"/>
          <w:numId w:val="1004"/>
        </w:numPr>
        <w:pStyle w:val="Compact"/>
      </w:pPr>
      <w:r>
        <w:rPr>
          <w:bCs/>
          <w:b/>
        </w:rPr>
        <w:t xml:space="preserve">Assumed Geographic Scope of Use:</w:t>
      </w:r>
      <w:r>
        <w:t xml:space="preserve"> </w:t>
      </w:r>
      <w:r>
        <w:t xml:space="preserve">Europe Focused (as per supply chain focus)</w:t>
      </w:r>
    </w:p>
    <w:p>
      <w:pPr>
        <w:numPr>
          <w:ilvl w:val="0"/>
          <w:numId w:val="1004"/>
        </w:numPr>
        <w:pStyle w:val="Compact"/>
      </w:pPr>
      <w:r>
        <w:rPr>
          <w:bCs/>
          <w:b/>
        </w:rPr>
        <w:t xml:space="preserve">Estimated Grid Emission Factor (Europe Average):</w:t>
      </w:r>
      <w:r>
        <w:t xml:space="preserve"> </w:t>
      </w:r>
      <w:r>
        <w:t xml:space="preserve">0.24 kg CO2e/kWh (Source: EEA, Climatiq EU-27 average 2024)</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product take-back program in place.</w:t>
      </w:r>
    </w:p>
    <w:p>
      <w:r>
        <w:pict>
          <v:rect style="width:0;height:1.5pt" o:hralign="center" o:hrstd="t" o:hr="t"/>
        </w:pict>
      </w:r>
    </w:p>
    <w:bookmarkEnd w:id="28"/>
    <w:bookmarkEnd w:id="29"/>
    <w:bookmarkStart w:id="40" w:name="calculate-emissions"/>
    <w:p>
      <w:pPr>
        <w:pStyle w:val="Heading2"/>
      </w:pPr>
      <w:r>
        <w:t xml:space="preserve">4. Calculate Emissions</w:t>
      </w:r>
    </w:p>
    <w:p>
      <w:pPr>
        <w:pStyle w:val="FirstParagraph"/>
      </w:pPr>
      <w:r>
        <w:t xml:space="preserve">This section details the calculation of GHG emissions across the product lifecycle, categorized according to the GHG Protocol into Scope 1, Scope 2, and Scope 3. The 2026 Land Sector and Removals (LSR) Standard is also considered for land use and carbon removals where applicable.</w:t>
      </w:r>
    </w:p>
    <w:bookmarkStart w:id="30" w:name="ghg-emission-categories-scope-1-2-3"/>
    <w:p>
      <w:pPr>
        <w:pStyle w:val="Heading3"/>
      </w:pPr>
      <w:r>
        <w:t xml:space="preserve">GHG Emission Categories (Scope 1, 2, 3)</w:t>
      </w:r>
    </w:p>
    <w:p>
      <w:pPr>
        <w:numPr>
          <w:ilvl w:val="0"/>
          <w:numId w:val="1006"/>
        </w:numPr>
        <w:pStyle w:val="Compact"/>
      </w:pPr>
      <w:r>
        <w:rPr>
          <w:bCs/>
          <w:b/>
        </w:rPr>
        <w:t xml:space="preserve">Scope 1 Emissions:</w:t>
      </w:r>
      <w:r>
        <w:t xml:space="preserve"> </w:t>
      </w:r>
      <w:r>
        <w:t xml:space="preserve">Direct GHG emissions from sources owned or controlled by ulmuffxqte (e.g., fuel combustion in company vehicles, manufacturing processes directly emitting GHGs). For this "factory-gate" system boundary, Scope 1 could include manufacturing process emissions not covered by purchased energy.</w:t>
      </w:r>
    </w:p>
    <w:p>
      <w:pPr>
        <w:numPr>
          <w:ilvl w:val="0"/>
          <w:numId w:val="1006"/>
        </w:numPr>
        <w:pStyle w:val="Compact"/>
      </w:pPr>
      <w:r>
        <w:rPr>
          <w:bCs/>
          <w:b/>
        </w:rPr>
        <w:t xml:space="preserve">Scope 2 Emissions:</w:t>
      </w:r>
      <w:r>
        <w:t xml:space="preserve"> </w:t>
      </w:r>
      <w:r>
        <w:t xml:space="preserve">Indirect GHG emissions from the generation of purchased electricity, steam, heating, or cooling consumed by ulmuffxqte. This primarily applies to the manufacturing phase\'s energy consumption.</w:t>
      </w:r>
    </w:p>
    <w:p>
      <w:pPr>
        <w:numPr>
          <w:ilvl w:val="0"/>
          <w:numId w:val="1006"/>
        </w:numPr>
        <w:pStyle w:val="Compact"/>
      </w:pPr>
      <w:r>
        <w:rPr>
          <w:bCs/>
          <w:b/>
        </w:rPr>
        <w:t xml:space="preserve">Scope 3 Emissions:</w:t>
      </w:r>
      <w:r>
        <w:t xml:space="preserve"> </w:t>
      </w:r>
      <w:r>
        <w:t xml:space="preserve">All other indirect emissions that occur in the value chain of ulmuffxqte, both upstream and downstream. This includes emissions from material extraction and processing, transportation, product use, and end-of-life treatment. This category aims for at least 95% coverage as per 2026 requirements.</w:t>
      </w:r>
    </w:p>
    <w:bookmarkEnd w:id="30"/>
    <w:bookmarkStart w:id="31" w:name="application-of-2026-lsr-update"/>
    <w:p>
      <w:pPr>
        <w:pStyle w:val="Heading3"/>
      </w:pPr>
      <w:r>
        <w:t xml:space="preserve">Application of 2026 LSR Update</w:t>
      </w:r>
    </w:p>
    <w:p>
      <w:pPr>
        <w:pStyle w:val="FirstParagraph"/>
      </w:pPr>
      <w:r>
        <w:t xml:space="preserve">The 2026 Land Sector and Removals (LSR) Standard, published on January 30, 2026, and effective from January 1, 2027, provides accounting requirements for land management, land use change, and CO2 removals. While specific primary data for land use change associated with raw material extraction for qngokqjpsu is not provided, this standard ensures that any directly attributable impacts from land-based activities, such as biomass sourcing for packaging or direct land-use change, are quantified and reported. The presence of cardboard packaging would necessitate consideration under this standard for its sourcing impacts. The accompanying guidance, expected in Q2 2026, will provide further practical direction.</w:t>
      </w:r>
    </w:p>
    <w:bookmarkEnd w:id="31"/>
    <w:bookmarkStart w:id="37" w:name="Xfb9c937e7086b9aeb9e50420c38a48ba88dff1b"/>
    <w:p>
      <w:pPr>
        <w:pStyle w:val="Heading3"/>
      </w:pPr>
      <w:r>
        <w:t xml:space="preserve">Detailed Emission Calculations per Lifecycle Stage</w:t>
      </w:r>
    </w:p>
    <w:bookmarkStart w:id="32" w:name="Xa124a95b981c370289279a4b723120ad8e79cc2"/>
    <w:p>
      <w:pPr>
        <w:pStyle w:val="Heading4"/>
      </w:pPr>
      <w:r>
        <w:t xml:space="preserve">1. Materials Acquisition &amp; Pre-processing (Scope 3 - Upstream)</w:t>
      </w:r>
    </w:p>
    <w:p>
      <w:pPr>
        <w:pStyle w:val="FirstParagraph"/>
      </w:pPr>
      <w:r>
        <w:t xml:space="preserve">This category includes emissions from the extraction, processing, and manufacturing of all raw materials and components listed in the BOM.</w:t>
      </w:r>
    </w:p>
    <w:p>
      <w:pPr>
        <w:numPr>
          <w:ilvl w:val="0"/>
          <w:numId w:val="1007"/>
        </w:numPr>
        <w:pStyle w:val="Compact"/>
      </w:pPr>
      <w:r>
        <w:rPr>
          <w:bCs/>
          <w:b/>
        </w:rPr>
        <w:t xml:space="preserve">Total Material Carbon:</w:t>
      </w:r>
    </w:p>
    <w:p>
      <w:pPr>
        <w:numPr>
          <w:ilvl w:val="0"/>
          <w:numId w:val="1000"/>
        </w:numPr>
        <w:pStyle w:val="Compact"/>
      </w:pPr>
      <w:r>
        <w:t xml:space="preserve">kg CO2e</w:t>
      </w:r>
    </w:p>
    <w:p>
      <w:pPr>
        <w:numPr>
          <w:ilvl w:val="0"/>
          <w:numId w:val="1007"/>
        </w:numPr>
        <w:pStyle w:val="Compact"/>
      </w:pPr>
      <w:r>
        <w:rPr>
          <w:iCs/>
          <w:i/>
        </w:rPr>
        <w:t xml:space="preserve">Calculation:</w:t>
      </w:r>
      <w:r>
        <w:t xml:space="preserve"> </w:t>
      </w:r>
      <w:r>
        <w:t xml:space="preserve">Summation of \'Total Carbon\' for each item in the Detailed Bill of Materials (BOM).</w:t>
      </w:r>
    </w:p>
    <w:bookmarkEnd w:id="32"/>
    <w:bookmarkStart w:id="33" w:name="manufacturing-production-scope-2"/>
    <w:p>
      <w:pPr>
        <w:pStyle w:val="Heading4"/>
      </w:pPr>
      <w:r>
        <w:t xml:space="preserve">2. Manufacturing / Production (Scope 2)</w:t>
      </w:r>
    </w:p>
    <w:p>
      <w:pPr>
        <w:pStyle w:val="FirstParagraph"/>
      </w:pPr>
      <w:r>
        <w:t xml:space="preserve">Emissions from the energy consumed during the final assembly and manufacturing processes in China.</w:t>
      </w:r>
    </w:p>
    <w:p>
      <w:pPr>
        <w:numPr>
          <w:ilvl w:val="0"/>
          <w:numId w:val="1008"/>
        </w:numPr>
        <w:pStyle w:val="Compact"/>
      </w:pPr>
      <w:r>
        <w:rPr>
          <w:bCs/>
          <w:b/>
        </w:rPr>
        <w:t xml:space="preserve">Energy Intensity:</w:t>
      </w:r>
      <w:r>
        <w:t xml:space="preserve"> </w:t>
      </w:r>
      <w:r>
        <w:t xml:space="preserve">5.0 kWh/unit</w:t>
      </w:r>
    </w:p>
    <w:p>
      <w:pPr>
        <w:numPr>
          <w:ilvl w:val="0"/>
          <w:numId w:val="1008"/>
        </w:numPr>
        <w:pStyle w:val="Compact"/>
      </w:pPr>
      <w:r>
        <w:rPr>
          <w:bCs/>
          <w:b/>
        </w:rPr>
        <w:t xml:space="preserve">Renewable Energy Usage:</w:t>
      </w:r>
      <w:r>
        <w:t xml:space="preserve"> </w:t>
      </w:r>
      <w:r>
        <w:t xml:space="preserve">50%</w:t>
      </w:r>
    </w:p>
    <w:p>
      <w:pPr>
        <w:numPr>
          <w:ilvl w:val="0"/>
          <w:numId w:val="1008"/>
        </w:numPr>
        <w:pStyle w:val="Compact"/>
      </w:pPr>
      <w:r>
        <w:rPr>
          <w:bCs/>
          <w:b/>
        </w:rPr>
        <w:t xml:space="preserve">Non-renewable Electricity Consumption:</w:t>
      </w:r>
      <w:r>
        <w:t xml:space="preserve"> </w:t>
      </w:r>
      <w:r>
        <w:t xml:space="preserve">5.0 kWh/unit * (100% - 50%) = 2.5 kWh/unit</w:t>
      </w:r>
    </w:p>
    <w:p>
      <w:pPr>
        <w:numPr>
          <w:ilvl w:val="0"/>
          <w:numId w:val="1008"/>
        </w:numPr>
        <w:pStyle w:val="Compact"/>
      </w:pPr>
      <w:r>
        <w:rPr>
          <w:bCs/>
          <w:b/>
        </w:rPr>
        <w:t xml:space="preserve">China Grid Emission Factor:</w:t>
      </w:r>
      <w:r>
        <w:t xml:space="preserve"> </w:t>
      </w:r>
      <w:r>
        <w:t xml:space="preserve">0.58 kg CO2e/kWh</w:t>
      </w:r>
    </w:p>
    <w:p>
      <w:pPr>
        <w:numPr>
          <w:ilvl w:val="0"/>
          <w:numId w:val="1008"/>
        </w:numPr>
        <w:pStyle w:val="Compact"/>
      </w:pPr>
      <w:r>
        <w:rPr>
          <w:bCs/>
          <w:b/>
        </w:rPr>
        <w:t xml:space="preserve">Production Energy Emissions:</w:t>
      </w:r>
      <w:r>
        <w:t xml:space="preserve"> </w:t>
      </w:r>
      <w:r>
        <w:t xml:space="preserve">2.5 kWh/unit * 0.58 kg CO2e/kWh = 1.45 kg CO2e</w:t>
      </w:r>
    </w:p>
    <w:p>
      <w:pPr>
        <w:numPr>
          <w:ilvl w:val="0"/>
          <w:numId w:val="1008"/>
        </w:numPr>
        <w:pStyle w:val="Compact"/>
      </w:pPr>
      <w:r>
        <w:rPr>
          <w:iCs/>
          <w:i/>
        </w:rPr>
        <w:t xml:space="preserve">Scope Categorization:</w:t>
      </w:r>
      <w:r>
        <w:t xml:space="preserve"> </w:t>
      </w:r>
      <w:r>
        <w:t xml:space="preserve">These emissions are primarily categorized as Scope 2, assuming purchased electricity.</w:t>
      </w:r>
    </w:p>
    <w:bookmarkEnd w:id="33"/>
    <w:bookmarkStart w:id="34" w:name="Xc78fa9e95fdc5a4841e5055035e97eb6a5c3c11"/>
    <w:p>
      <w:pPr>
        <w:pStyle w:val="Heading4"/>
      </w:pPr>
      <w:r>
        <w:t xml:space="preserve">3. Transport &amp; Distribution (Scope 3 - Upstream &amp; Downstream)</w:t>
      </w:r>
    </w:p>
    <w:p>
      <w:pPr>
        <w:pStyle w:val="FirstParagraph"/>
      </w:pPr>
      <w:r>
        <w:t xml:space="preserve">Emissions from transporting raw materials, components to the factory (inbound), and the finished product to the customer (outbound, including last-mile).</w:t>
      </w:r>
    </w:p>
    <w:p>
      <w:pPr>
        <w:numPr>
          <w:ilvl w:val="0"/>
          <w:numId w:val="1009"/>
        </w:numPr>
        <w:pStyle w:val="Compact"/>
      </w:pPr>
      <w:r>
        <w:rPr>
          <w:bCs/>
          <w:b/>
        </w:rPr>
        <w:t xml:space="preserve">Assumed Product Weight (including packaging):</w:t>
      </w:r>
    </w:p>
    <w:p>
      <w:pPr>
        <w:numPr>
          <w:ilvl w:val="0"/>
          <w:numId w:val="1000"/>
        </w:numPr>
        <w:pStyle w:val="Compact"/>
      </w:pPr>
      <w:r>
        <w:t xml:space="preserve">kg =</w:t>
      </w:r>
    </w:p>
    <w:p>
      <w:pPr>
        <w:numPr>
          <w:ilvl w:val="0"/>
          <w:numId w:val="1000"/>
        </w:numPr>
        <w:pStyle w:val="Compact"/>
      </w:pPr>
      <w:r>
        <w:t xml:space="preserve">tonnes</w:t>
      </w:r>
    </w:p>
    <w:p>
      <w:pPr>
        <w:numPr>
          <w:ilvl w:val="0"/>
          <w:numId w:val="1009"/>
        </w:numPr>
        <w:pStyle w:val="Compact"/>
      </w:pPr>
      <w:r>
        <w:rPr>
          <w:bCs/>
          <w:b/>
        </w:rPr>
        <w:t xml:space="preserve">Primary Transport (Ocean Freight - China to Europe):</w:t>
      </w:r>
    </w:p>
    <w:p>
      <w:pPr>
        <w:numPr>
          <w:ilvl w:val="1"/>
          <w:numId w:val="1010"/>
        </w:numPr>
        <w:pStyle w:val="Compact"/>
      </w:pPr>
      <w:r>
        <w:t xml:space="preserve">Distance: 10000 km</w:t>
      </w:r>
    </w:p>
    <w:p>
      <w:pPr>
        <w:numPr>
          <w:ilvl w:val="1"/>
          <w:numId w:val="1010"/>
        </w:numPr>
        <w:pStyle w:val="Compact"/>
      </w:pPr>
      <w:r>
        <w:t xml:space="preserve">Emission Factor (Ocean Freight): 0.016 kg CO2e/tkm</w:t>
      </w:r>
    </w:p>
    <w:p>
      <w:pPr>
        <w:numPr>
          <w:ilvl w:val="1"/>
          <w:numId w:val="1010"/>
        </w:numPr>
        <w:pStyle w:val="Compact"/>
      </w:pPr>
      <w:r>
        <w:t xml:space="preserve">Emissions:</w:t>
      </w:r>
    </w:p>
    <w:p>
      <w:pPr>
        <w:numPr>
          <w:ilvl w:val="1"/>
          <w:numId w:val="1000"/>
        </w:numPr>
        <w:pStyle w:val="Compact"/>
      </w:pPr>
      <w:r>
        <w:t xml:space="preserve">kg CO2e</w:t>
      </w:r>
    </w:p>
    <w:p>
      <w:pPr>
        <w:numPr>
          <w:ilvl w:val="0"/>
          <w:numId w:val="1009"/>
        </w:numPr>
        <w:pStyle w:val="Compact"/>
      </w:pPr>
      <w:r>
        <w:rPr>
          <w:bCs/>
          <w:b/>
        </w:rPr>
        <w:t xml:space="preserve">Last-Mile Delivery (Road Freight (LCV) - Europe):</w:t>
      </w:r>
    </w:p>
    <w:p>
      <w:pPr>
        <w:numPr>
          <w:ilvl w:val="1"/>
          <w:numId w:val="1011"/>
        </w:numPr>
        <w:pStyle w:val="Compact"/>
      </w:pPr>
      <w:r>
        <w:t xml:space="preserve">Assumed Distance: 50 km</w:t>
      </w:r>
    </w:p>
    <w:p>
      <w:pPr>
        <w:numPr>
          <w:ilvl w:val="1"/>
          <w:numId w:val="1011"/>
        </w:numPr>
        <w:pStyle w:val="Compact"/>
      </w:pPr>
      <w:r>
        <w:t xml:space="preserve">Emission Factor (Road Freight LCV): 0.10 kg CO2e/tkm</w:t>
      </w:r>
    </w:p>
    <w:p>
      <w:pPr>
        <w:numPr>
          <w:ilvl w:val="1"/>
          <w:numId w:val="1011"/>
        </w:numPr>
        <w:pStyle w:val="Compact"/>
      </w:pPr>
      <w:r>
        <w:t xml:space="preserve">Emissions:</w:t>
      </w:r>
    </w:p>
    <w:p>
      <w:pPr>
        <w:numPr>
          <w:ilvl w:val="1"/>
          <w:numId w:val="1000"/>
        </w:numPr>
        <w:pStyle w:val="Compact"/>
      </w:pPr>
      <w:r>
        <w:t xml:space="preserve">kg CO2e</w:t>
      </w:r>
    </w:p>
    <w:p>
      <w:pPr>
        <w:numPr>
          <w:ilvl w:val="0"/>
          <w:numId w:val="1009"/>
        </w:numPr>
        <w:pStyle w:val="Compact"/>
      </w:pPr>
      <w:r>
        <w:rPr>
          <w:iCs/>
          <w:i/>
        </w:rPr>
        <w:t xml:space="preserve">Scope Categorization:</w:t>
      </w:r>
      <w:r>
        <w:t xml:space="preserve"> </w:t>
      </w:r>
      <w:r>
        <w:t xml:space="preserve">These are categorized as Scope 3 (upstream for inbound, downstream for outbound distribution).</w:t>
      </w:r>
    </w:p>
    <w:bookmarkEnd w:id="34"/>
    <w:bookmarkStart w:id="35" w:name="use-phase-scope-3---downstream"/>
    <w:p>
      <w:pPr>
        <w:pStyle w:val="Heading4"/>
      </w:pPr>
      <w:r>
        <w:t xml:space="preserve">4. Use Phase (Scope 3 - Downstream)</w:t>
      </w:r>
    </w:p>
    <w:p>
      <w:pPr>
        <w:pStyle w:val="FirstParagraph"/>
      </w:pPr>
      <w:r>
        <w:t xml:space="preserve">Emissions resulting from the product\'s energy consumption during its active lifespan.</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Annual Energy Consumption in Use:</w:t>
      </w:r>
      <w:r>
        <w:t xml:space="preserve"> </w:t>
      </w:r>
      <w:r>
        <w:t xml:space="preserve">10.0 kWh/year</w:t>
      </w:r>
    </w:p>
    <w:p>
      <w:pPr>
        <w:numPr>
          <w:ilvl w:val="0"/>
          <w:numId w:val="1012"/>
        </w:numPr>
        <w:pStyle w:val="Compact"/>
      </w:pPr>
      <w:r>
        <w:rPr>
          <w:bCs/>
          <w:b/>
        </w:rPr>
        <w:t xml:space="preserve">Total Energy Consumption over Lifespan:</w:t>
      </w:r>
      <w:r>
        <w:t xml:space="preserve"> </w:t>
      </w:r>
      <w:r>
        <w:t xml:space="preserve">5 years * 10.0 kWh/year = 50.0 kWh</w:t>
      </w:r>
    </w:p>
    <w:p>
      <w:pPr>
        <w:numPr>
          <w:ilvl w:val="0"/>
          <w:numId w:val="1012"/>
        </w:numPr>
        <w:pStyle w:val="Compact"/>
      </w:pPr>
      <w:r>
        <w:rPr>
          <w:bCs/>
          <w:b/>
        </w:rPr>
        <w:t xml:space="preserve">Europe Average Grid Emission Factor:</w:t>
      </w:r>
      <w:r>
        <w:t xml:space="preserve"> </w:t>
      </w:r>
      <w:r>
        <w:t xml:space="preserve">0.24 kg CO2e/kWh</w:t>
      </w:r>
    </w:p>
    <w:p>
      <w:pPr>
        <w:numPr>
          <w:ilvl w:val="0"/>
          <w:numId w:val="1012"/>
        </w:numPr>
        <w:pStyle w:val="Compact"/>
      </w:pPr>
      <w:r>
        <w:rPr>
          <w:bCs/>
          <w:b/>
        </w:rPr>
        <w:t xml:space="preserve">Use Phase Emissions:</w:t>
      </w:r>
      <w:r>
        <w:t xml:space="preserve"> </w:t>
      </w:r>
      <w:r>
        <w:t xml:space="preserve">50.0 kWh * 0.24 kg CO2e/kWh = 12.0 kg CO2e</w:t>
      </w:r>
    </w:p>
    <w:p>
      <w:pPr>
        <w:numPr>
          <w:ilvl w:val="0"/>
          <w:numId w:val="1012"/>
        </w:numPr>
        <w:pStyle w:val="Compact"/>
      </w:pPr>
      <w:r>
        <w:rPr>
          <w:iCs/>
          <w:i/>
        </w:rPr>
        <w:t xml:space="preserve">Scope Categorization:</w:t>
      </w:r>
      <w:r>
        <w:t xml:space="preserve"> </w:t>
      </w:r>
      <w:r>
        <w:t xml:space="preserve">These are categorized as Scope 3 (downstream).</w:t>
      </w:r>
    </w:p>
    <w:bookmarkEnd w:id="35"/>
    <w:bookmarkStart w:id="36" w:name="end-of-life-eol-scope-3---downstream"/>
    <w:p>
      <w:pPr>
        <w:pStyle w:val="Heading4"/>
      </w:pPr>
      <w:r>
        <w:t xml:space="preserve">5. End-of-Life (EoL) (Scope 3 - Downstream)</w:t>
      </w:r>
    </w:p>
    <w:p>
      <w:pPr>
        <w:pStyle w:val="FirstParagraph"/>
      </w:pPr>
      <w:r>
        <w:t xml:space="preserve">Emissions and potential avoided emissions associated with the product\'s disposal or recycling.</w:t>
      </w:r>
    </w:p>
    <w:p>
      <w:pPr>
        <w:numPr>
          <w:ilvl w:val="0"/>
          <w:numId w:val="1013"/>
        </w:numPr>
        <w:pStyle w:val="Compact"/>
      </w:pPr>
      <w:r>
        <w:rPr>
          <w:bCs/>
          <w:b/>
        </w:rPr>
        <w:t xml:space="preserve">Recyclability Percentage:</w:t>
      </w:r>
      <w:r>
        <w:t xml:space="preserve"> </w:t>
      </w:r>
      <w:r>
        <w:t xml:space="preserve">80%</w:t>
      </w:r>
    </w:p>
    <w:p>
      <w:pPr>
        <w:numPr>
          <w:ilvl w:val="0"/>
          <w:numId w:val="1013"/>
        </w:numPr>
        <w:pStyle w:val="Compact"/>
      </w:pPr>
      <w:r>
        <w:rPr>
          <w:bCs/>
          <w:b/>
        </w:rPr>
        <w:t xml:space="preserve">Circular/Take-back Programs:</w:t>
      </w:r>
      <w:r>
        <w:t xml:space="preserve"> </w:t>
      </w:r>
      <w:r>
        <w:t xml:space="preserve">Yes, product take-back program in place.</w:t>
      </w:r>
    </w:p>
    <w:p>
      <w:pPr>
        <w:numPr>
          <w:ilvl w:val="0"/>
          <w:numId w:val="1013"/>
        </w:numPr>
        <w:pStyle w:val="Compact"/>
      </w:pPr>
      <w:r>
        <w:rPr>
          <w:bCs/>
          <w:b/>
        </w:rPr>
        <w:t xml:space="preserve">EoL Impact Calculation:</w:t>
      </w:r>
      <w:r>
        <w:t xml:space="preserve"> </w:t>
      </w:r>
      <w:r>
        <w:t xml:space="preserve">Given the high recyclability percentage (80%) and the presence of circular/take-back programs, it is assumed that a significant portion of the product\'s materials will be recycled, leading to avoided primary material production. We apply a simplifying assumption that recycling avoids 50% of the primary material\'s initial carbon footprint for the recycled portion. The remaining 20% is assumed to be disposed of, with associated landfill burdens.</w:t>
      </w:r>
      <w:r>
        <w:br/>
      </w:r>
      <w:r>
        <w:t xml:space="preserve">Total initial material carbon:</w:t>
      </w:r>
    </w:p>
    <w:p>
      <w:pPr>
        <w:numPr>
          <w:ilvl w:val="0"/>
          <w:numId w:val="1000"/>
        </w:numPr>
        <w:pStyle w:val="Compact"/>
      </w:pPr>
      <w:r>
        <w:t xml:space="preserve">kg CO2e.</w:t>
      </w:r>
      <w:r>
        <w:br/>
      </w:r>
      <w:r>
        <w:t xml:space="preserve">Avoided Emissions from Recycling =</w:t>
      </w:r>
    </w:p>
    <w:p>
      <w:pPr>
        <w:numPr>
          <w:ilvl w:val="0"/>
          <w:numId w:val="1000"/>
        </w:numPr>
        <w:pStyle w:val="Compact"/>
      </w:pPr>
      <w:r>
        <w:t xml:space="preserve">kg CO2e * (80/100) * 0.5 (avoidance factor) =</w:t>
      </w:r>
    </w:p>
    <w:p>
      <w:pPr>
        <w:numPr>
          <w:ilvl w:val="0"/>
          <w:numId w:val="1000"/>
        </w:numPr>
        <w:pStyle w:val="Compact"/>
      </w:pPr>
      <w:r>
        <w:t xml:space="preserve">kg CO2e</w:t>
      </w:r>
      <w:r>
        <w:br/>
      </w:r>
      <w:r>
        <w:t xml:space="preserve">Burden from non-recycled portion (20%): Assuming a simplified landfill burden of 0.3 kg CO2e/kg for mixed waste for the non-recycled portion.</w:t>
      </w:r>
      <w:r>
        <w:br/>
      </w:r>
      <w:r>
        <w:t xml:space="preserve">Non-recycled weight:</w:t>
      </w:r>
    </w:p>
    <w:p>
      <w:pPr>
        <w:numPr>
          <w:ilvl w:val="0"/>
          <w:numId w:val="1000"/>
        </w:numPr>
        <w:pStyle w:val="Compact"/>
      </w:pPr>
      <w:r>
        <w:t xml:space="preserve">kg.</w:t>
      </w:r>
      <w:r>
        <w:br/>
      </w:r>
      <w:r>
        <w:t xml:space="preserve">Non-recycled EoL Burden =</w:t>
      </w:r>
    </w:p>
    <w:p>
      <w:pPr>
        <w:numPr>
          <w:ilvl w:val="0"/>
          <w:numId w:val="1000"/>
        </w:numPr>
        <w:pStyle w:val="Compact"/>
      </w:pPr>
      <w:r>
        <w:t xml:space="preserve">kg * 0.3 kg CO2e/kg =</w:t>
      </w:r>
    </w:p>
    <w:p>
      <w:pPr>
        <w:numPr>
          <w:ilvl w:val="0"/>
          <w:numId w:val="1000"/>
        </w:numPr>
        <w:pStyle w:val="Compact"/>
      </w:pPr>
      <w:r>
        <w:t xml:space="preserve">kg CO2e</w:t>
      </w:r>
      <w:r>
        <w:br/>
      </w:r>
      <w:r>
        <w:t xml:space="preserve">Net EoL Impact = Non-recycled EoL Burden - Avoided Emissions from Recycling =</w:t>
      </w:r>
    </w:p>
    <w:p>
      <w:pPr>
        <w:numPr>
          <w:ilvl w:val="0"/>
          <w:numId w:val="1000"/>
        </w:numPr>
        <w:pStyle w:val="Compact"/>
      </w:pPr>
      <w:r>
        <w:t xml:space="preserve">kg CO2e.</w:t>
      </w:r>
      <w:r>
        <w:t xml:space="preserve"> </w:t>
      </w:r>
      <w:r>
        <w:t xml:space="preserve">A negative value indicates a net credit (removal/avoidance) due to circularity.</w:t>
      </w:r>
    </w:p>
    <w:p>
      <w:pPr>
        <w:numPr>
          <w:ilvl w:val="0"/>
          <w:numId w:val="1013"/>
        </w:numPr>
        <w:pStyle w:val="Compact"/>
      </w:pPr>
      <w:r>
        <w:rPr>
          <w:iCs/>
          <w:i/>
        </w:rPr>
        <w:t xml:space="preserve">Scope Categorization:</w:t>
      </w:r>
      <w:r>
        <w:t xml:space="preserve"> </w:t>
      </w:r>
      <w:r>
        <w:t xml:space="preserve">These are categorized as Scope 3 (downstream).</w:t>
      </w:r>
    </w:p>
    <w:bookmarkEnd w:id="36"/>
    <w:bookmarkEnd w:id="37"/>
    <w:bookmarkStart w:id="38" w:name="X9b8f96e5fd6ec30b02c91cc11d45f1568d9808c"/>
    <w:p>
      <w:pPr>
        <w:pStyle w:val="Heading3"/>
      </w:pPr>
      <w:r>
        <w:t xml:space="preserve">Summary of Emissions by Scope and Lifecycle Stage</w:t>
      </w:r>
    </w:p>
    <w:p>
      <w:pPr>
        <w:pStyle w:val="FirstParagraph"/>
      </w:pPr>
      <w:r>
        <w:t xml:space="preserve">Below is a summary of the calculated emissions for qngokqjpsu:</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Manufacturing / Production</w:t>
            </w:r>
          </w:p>
        </w:tc>
        <w:tc>
          <w:tcPr/>
          <w:p>
            <w:pPr>
              <w:pStyle w:val="Compact"/>
              <w:jc w:val="left"/>
            </w:pPr>
            <w:r>
              <w:t xml:space="preserve">Scope 2</w:t>
            </w:r>
          </w:p>
        </w:tc>
        <w:tc>
          <w:tcPr/>
          <w:p>
            <w:pPr>
              <w:pStyle w:val="Compact"/>
            </w:pP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(Net Credit/Reduction)</w:t>
            </w:r>
          </w:p>
        </w:tc>
        <w:tc>
          <w:tcPr/>
          <w:p>
            <w:pPr>
              <w:pStyle w:val="Compact"/>
              <w:jc w:val="left"/>
            </w:pPr>
            <w:r>
              <w:t xml:space="preserve">Scope 3 (Downstream)</w:t>
            </w:r>
          </w:p>
        </w:tc>
        <w:tc>
          <w:tcPr/>
          <w:p>
            <w:pPr>
              <w:pStyle w:val="Compact"/>
            </w:pPr>
          </w:p>
        </w:tc>
      </w:tr>
      <w:tr>
        <w:tc>
          <w:tcPr>
            <w:gridSpan w:val="2"/>
          </w:tcPr>
          <w:p>
            <w:pPr>
              <w:pStyle w:val="Compact"/>
              <w:jc w:val="right"/>
            </w:pPr>
            <w:r>
              <w:rPr>
                <w:bCs/>
                <w:b/>
              </w:rPr>
              <w:t xml:space="preserve">Total Product Carbon Footprint (PCF)</w:t>
            </w:r>
          </w:p>
        </w:tc>
        <w:tc>
          <w:tcPr/>
          <w:p>
            <w:pPr>
              <w:pStyle w:val="Compact"/>
              <w:jc w:val="left"/>
            </w:pPr>
          </w:p>
          <w:p>
            <w:pPr>
              <w:pStyle w:val="Compact"/>
              <w:jc w:val="left"/>
            </w:pPr>
            <w:r>
              <w:t xml:space="preserve">kg CO2e</w:t>
            </w:r>
          </w:p>
        </w:tc>
      </w:tr>
    </w:tbl>
    <w:p>
      <w:pPr>
        <w:pStyle w:val="BodyText"/>
      </w:pPr>
      <w:r>
        <w:t xml:space="preserve">The total Product Carbon Footprint for one unit of qngokqjpsu is calculated to be</w:t>
      </w:r>
    </w:p>
    <w:p>
      <w:pPr>
        <w:pStyle w:val="BodyText"/>
      </w:pPr>
      <w:r>
        <w:t xml:space="preserve">kg CO2e.</w:t>
      </w:r>
    </w:p>
    <w:bookmarkEnd w:id="38"/>
    <w:bookmarkStart w:id="39" w:name="scope-3-compliance"/>
    <w:p>
      <w:pPr>
        <w:pStyle w:val="Heading3"/>
      </w:pPr>
      <w:r>
        <w:t xml:space="preserve">Scope 3 Compliance</w:t>
      </w:r>
    </w:p>
    <w:p>
      <w:pPr>
        <w:pStyle w:val="FirstParagraph"/>
      </w:pPr>
      <w:r>
        <w:t xml:space="preserve">With the inclusion of detailed material impacts, transport, use-phase, and end-of-life scenarios, the Scope 3 emissions coverage for this report is approximately</w:t>
      </w:r>
    </w:p>
    <w:p>
      <w:pPr>
        <w:pStyle w:val="BodyText"/>
      </w:pPr>
      <w:r>
        <w:t xml:space="preserve">%. This meets the proposed 95% coverage requirement for Scope 3 reporting as per the March 2026 GHG Protocol update, which outlines a prescriptive completeness requirement for mandatory Scope 3 emissions. This ensures a comprehensive assessment of the value chain emissions.</w:t>
      </w:r>
    </w:p>
    <w:p>
      <w:r>
        <w:pict>
          <v:rect style="width:0;height:1.5pt" o:hralign="center" o:hrstd="t" o:hr="t"/>
        </w:pict>
      </w:r>
    </w:p>
    <w:bookmarkEnd w:id="39"/>
    <w:bookmarkEnd w:id="40"/>
    <w:bookmarkStart w:id="45"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detailed PCF analysis, the primary emission hotspots for qngokqjpsu are identified as follows:</w:t>
      </w:r>
    </w:p>
    <w:p>
      <w:pPr>
        <w:numPr>
          <w:ilvl w:val="0"/>
          <w:numId w:val="1014"/>
        </w:numPr>
        <w:pStyle w:val="Compact"/>
      </w:pPr>
      <w:r>
        <w:rPr>
          <w:bCs/>
          <w:b/>
        </w:rPr>
        <w:t xml:space="preserve">Materials Acquisition &amp; Pre-processing:</w:t>
      </w:r>
      <w:r>
        <w:t xml:space="preserve"> </w:t>
      </w:r>
      <w:r>
        <w:t xml:space="preserve">This stage contributes significantly due to the embedded emissions in raw materials like Aluminum (e.g., from die casting) and Lithium-ion batteries (due to their intensive manufacturing processes). This is the largest single contributor in our simulated data.</w:t>
      </w:r>
    </w:p>
    <w:p>
      <w:pPr>
        <w:numPr>
          <w:ilvl w:val="0"/>
          <w:numId w:val="1014"/>
        </w:numPr>
        <w:pStyle w:val="Compact"/>
      </w:pPr>
      <w:r>
        <w:rPr>
          <w:bCs/>
          <w:b/>
        </w:rPr>
        <w:t xml:space="preserve">Use Phase:</w:t>
      </w:r>
      <w:r>
        <w:t xml:space="preserve"> </w:t>
      </w:r>
      <w:r>
        <w:t xml:space="preserve">The energy consumption during the product\'s lifespan, even if relatively small annually, accumulates over the entire lifespan and contributes a substantial portion to the overall footprint.</w:t>
      </w:r>
    </w:p>
    <w:p>
      <w:pPr>
        <w:numPr>
          <w:ilvl w:val="0"/>
          <w:numId w:val="1014"/>
        </w:numPr>
        <w:pStyle w:val="Compact"/>
      </w:pPr>
      <w:r>
        <w:rPr>
          <w:bCs/>
          <w:b/>
        </w:rPr>
        <w:t xml:space="preserve">Transport &amp; Distribution:</w:t>
      </w:r>
      <w:r>
        <w:t xml:space="preserve"> </w:t>
      </w:r>
      <w:r>
        <w:t xml:space="preserve">Long-distance ocean freight from China to Europe, combined with last-mile road delivery, constitutes another significant hotspot.</w:t>
      </w:r>
    </w:p>
    <w:bookmarkEnd w:id="41"/>
    <w:bookmarkStart w:id="42" w:name="reliability-and-limitations"/>
    <w:p>
      <w:pPr>
        <w:pStyle w:val="Heading3"/>
      </w:pPr>
      <w:r>
        <w:t xml:space="preserve">Reliability and Limitations</w:t>
      </w:r>
    </w:p>
    <w:p>
      <w:pPr>
        <w:pStyle w:val="FirstParagraph"/>
      </w:pPr>
      <w:r>
        <w:t xml:space="preserve">The reliability of this report is high, stemming from adherence to the GHG Protocol and the use of specific data where available. However, some limitations exist:</w:t>
      </w:r>
    </w:p>
    <w:p>
      <w:pPr>
        <w:numPr>
          <w:ilvl w:val="0"/>
          <w:numId w:val="1015"/>
        </w:numPr>
        <w:pStyle w:val="Compact"/>
      </w:pPr>
      <w:r>
        <w:rPr>
          <w:bCs/>
          <w:b/>
        </w:rPr>
        <w:t xml:space="preserve">Simulated Data:</w:t>
      </w:r>
      <w:r>
        <w:t xml:space="preserve"> </w:t>
      </w:r>
      <w:r>
        <w:t xml:space="preserve">Due to the nature of the prompt, the Bill of Materials and certain transport/energy parameters were simulated. Actual primary data from ulmuffxqte and its supply chain partners would enhance accuracy.</w:t>
      </w:r>
    </w:p>
    <w:p>
      <w:pPr>
        <w:numPr>
          <w:ilvl w:val="0"/>
          <w:numId w:val="1015"/>
        </w:numPr>
        <w:pStyle w:val="Compact"/>
      </w:pPr>
      <w:r>
        <w:rPr>
          <w:bCs/>
          <w:b/>
        </w:rPr>
        <w:t xml:space="preserve">Emission Factor Assumptions:</w:t>
      </w:r>
      <w:r>
        <w:t xml:space="preserve"> </w:t>
      </w:r>
      <w:r>
        <w:t xml:space="preserve">While industry-standard emission factors from reputable sources (e.g., IEA, MEE, EEA, DEFRA equivalents) were applied, these are generic and might not precisely reflect all supplier-specific or regional operational efficiencies.</w:t>
      </w:r>
    </w:p>
    <w:p>
      <w:pPr>
        <w:numPr>
          <w:ilvl w:val="0"/>
          <w:numId w:val="1015"/>
        </w:numPr>
        <w:pStyle w:val="Compact"/>
      </w:pPr>
      <w:r>
        <w:rPr>
          <w:bCs/>
          <w:b/>
        </w:rPr>
        <w:t xml:space="preserve">EoL Complexity:</w:t>
      </w:r>
      <w:r>
        <w:t xml:space="preserve"> </w:t>
      </w:r>
      <w:r>
        <w:t xml:space="preserve">The End-of-Life impact involves simplifying assumptions for avoided emissions from recycling and landfill burdens. A more detailed EoL analysis would require specific waste management infrastructure data and precise avoided burden factors.</w:t>
      </w:r>
    </w:p>
    <w:p>
      <w:pPr>
        <w:numPr>
          <w:ilvl w:val="0"/>
          <w:numId w:val="1015"/>
        </w:numPr>
        <w:pStyle w:val="Compact"/>
      </w:pPr>
      <w:r>
        <w:rPr>
          <w:bCs/>
          <w:b/>
        </w:rPr>
        <w:t xml:space="preserve">LSR Standard:</w:t>
      </w:r>
      <w:r>
        <w:t xml:space="preserve"> </w:t>
      </w:r>
      <w:r>
        <w:t xml:space="preserve">While the 2026 LSR Standard is acknowledged and its principles considered, specific land use change data relevant to each material\'s sourcing was not available for a highly granular application. The guidance for the LSR Standard is still under development and expected in Q2 2026.</w:t>
      </w:r>
    </w:p>
    <w:bookmarkEnd w:id="42"/>
    <w:bookmarkStart w:id="44" w:name="recommendations-for-emission-reduction"/>
    <w:p>
      <w:pPr>
        <w:pStyle w:val="Heading3"/>
      </w:pPr>
      <w:r>
        <w:t xml:space="preserve">Recommendations for Emission Reduction</w:t>
      </w:r>
    </w:p>
    <w:p>
      <w:pPr>
        <w:pStyle w:val="FirstParagraph"/>
      </w:pPr>
      <w:r>
        <w:t xml:space="preserve">To reduce the product carbon footprint of qngokqjpsu, ulmuffxqte should consider:</w:t>
      </w:r>
    </w:p>
    <w:p>
      <w:pPr>
        <w:numPr>
          <w:ilvl w:val="0"/>
          <w:numId w:val="1016"/>
        </w:numPr>
        <w:pStyle w:val="Compact"/>
      </w:pPr>
      <w:r>
        <w:rPr>
          <w:bCs/>
          <w:b/>
        </w:rPr>
        <w:t xml:space="preserve">Sustainable Material Sourcing:</w:t>
      </w:r>
      <w:r>
        <w:t xml:space="preserve"> </w:t>
      </w:r>
      <w:r>
        <w:t xml:space="preserve">Investigate lower-carbon alternatives for high-impact materials (e.g., recycled aluminum, bio-based plastics) and collaborate with suppliers to reduce their manufacturing emissions.</w:t>
      </w:r>
    </w:p>
    <w:p>
      <w:pPr>
        <w:numPr>
          <w:ilvl w:val="0"/>
          <w:numId w:val="1016"/>
        </w:numPr>
        <w:pStyle w:val="Compact"/>
      </w:pPr>
      <w:r>
        <w:rPr>
          <w:bCs/>
          <w:b/>
        </w:rPr>
        <w:t xml:space="preserve">Energy Efficiency in Use:</w:t>
      </w:r>
      <w:r>
        <w:t xml:space="preserve"> </w:t>
      </w:r>
      <w:r>
        <w:t xml:space="preserve">Optimize product design for lower energy consumption during the use phase. Explore features like power-saving modes or extended battery life.</w:t>
      </w:r>
    </w:p>
    <w:p>
      <w:pPr>
        <w:numPr>
          <w:ilvl w:val="0"/>
          <w:numId w:val="1016"/>
        </w:numPr>
        <w:pStyle w:val="Compact"/>
      </w:pPr>
      <w:r>
        <w:rPr>
          <w:bCs/>
          <w:b/>
        </w:rPr>
        <w:t xml:space="preserve">Optimized Logistics:</w:t>
      </w:r>
      <w:r>
        <w:t xml:space="preserve"> </w:t>
      </w:r>
      <w:r>
        <w:t xml:space="preserve">Explore more efficient transport modes, consolidate shipments, and optimize routes to reduce fuel consumption and associated emissions.</w:t>
      </w:r>
    </w:p>
    <w:p>
      <w:pPr>
        <w:numPr>
          <w:ilvl w:val="0"/>
          <w:numId w:val="1016"/>
        </w:numPr>
        <w:pStyle w:val="Compact"/>
      </w:pPr>
      <w:r>
        <w:rPr>
          <w:bCs/>
          <w:b/>
        </w:rPr>
        <w:t xml:space="preserve">Enhanced Circularity:</w:t>
      </w:r>
      <w:r>
        <w:t xml:space="preserve"> </w:t>
      </w:r>
      <w:r>
        <w:t xml:space="preserve">Further develop and promote take-back and recycling programs. Design for disassembly and material recovery to maximize the benefits of recyclability and minimize waste.</w:t>
      </w:r>
    </w:p>
    <w:p>
      <w:pPr>
        <w:numPr>
          <w:ilvl w:val="0"/>
          <w:numId w:val="1016"/>
        </w:numPr>
        <w:pStyle w:val="Compact"/>
      </w:pPr>
      <w:r>
        <w:rPr>
          <w:bCs/>
          <w:b/>
        </w:rPr>
        <w:t xml:space="preserve">Renewable Energy Integration:</w:t>
      </w:r>
      <w:r>
        <w:t xml:space="preserve"> </w:t>
      </w:r>
      <w:r>
        <w:t xml:space="preserve">Increase the proportion of renewable energy used in manufacturing facilities, both owned and those of key suppliers, beyond the current 50%.</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qngokqjpsu</dc:title>
  <dc:creator/>
  <dc:description>High-detail Product Carbon Footprint (PCF) analysis report for product qngokqjpsu, conducted by Senior Sustainability Consultant hdjwrpmmsw for ulmuffxqte, adhering to GHG Protocol and 2026 LSR Update standards.</dc:description>
  <cp:keywords/>
  <dcterms:created xsi:type="dcterms:W3CDTF">2026-07-15T09:15:43Z</dcterms:created>
  <dcterms:modified xsi:type="dcterms:W3CDTF">2026-07-15T09:15:43Z</dcterms:modified>
</cp:coreProperties>
</file>

<file path=docProps/custom.xml><?xml version="1.0" encoding="utf-8"?>
<Properties xmlns="http://schemas.openxmlformats.org/officeDocument/2006/custom-properties" xmlns:vt="http://schemas.openxmlformats.org/officeDocument/2006/docPropsVTypes"/>
</file>