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qmzovghike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qmzovghike</w:t>
      </w:r>
    </w:p>
    <w:p>
      <w:pPr>
        <w:pStyle w:val="BodyText"/>
      </w:pPr>
      <w:r>
        <w:rPr>
          <w:bCs/>
          <w:b/>
        </w:rPr>
        <w:t xml:space="preserve">Company:</w:t>
      </w:r>
      <w:r>
        <w:t xml:space="preserve"> </w:t>
      </w:r>
      <w:r>
        <w:t xml:space="preserve">qozmkkokke</w:t>
      </w:r>
    </w:p>
    <w:p>
      <w:pPr>
        <w:pStyle w:val="BodyText"/>
      </w:pPr>
      <w:r>
        <w:rPr>
          <w:bCs/>
          <w:b/>
        </w:rPr>
        <w:t xml:space="preserve">Senior Sustainability Consultant:</w:t>
      </w:r>
      <w:r>
        <w:t xml:space="preserve"> </w:t>
      </w:r>
      <w:r>
        <w:t xml:space="preserve">mefuievoos</w:t>
      </w:r>
    </w:p>
    <w:p>
      <w:pPr>
        <w:pStyle w:val="BodyText"/>
      </w:pPr>
      <w:r>
        <w:rPr>
          <w:bCs/>
          <w:b/>
        </w:rPr>
        <w:t xml:space="preserve">Accounting Standard:</w:t>
      </w:r>
      <w:r>
        <w:t xml:space="preserve"> </w:t>
      </w:r>
      <w:r>
        <w:t xml:space="preserve">GHG Protocol</w:t>
      </w:r>
    </w:p>
    <w:p>
      <w:pPr>
        <w:pStyle w:val="BodyText"/>
      </w:pPr>
      <w:r>
        <w:rPr>
          <w:bCs/>
          <w:b/>
        </w:rPr>
        <w:t xml:space="preserve">Generated Date:</w:t>
      </w:r>
      <w:r>
        <w:t xml:space="preserve"> </w:t>
      </w:r>
      <w:r>
        <w:t xml:space="preserve">May 26, 2026</w:t>
      </w:r>
    </w:p>
    <w:p>
      <w:pPr>
        <w:pStyle w:val="BodyText"/>
      </w:pPr>
      <w:r>
        <w:t xml:space="preserve">Disclaimer: This report is generated based on available data and industry standards. While every effort has been made to ensure accuracy, the results are indicative and subject to the precision of the input data and chosen emission factors.</w:t>
      </w:r>
    </w:p>
    <w:bookmarkEnd w:id="20"/>
    <w:bookmarkStart w:id="47" w:name="Xa87d010c1fd868336511b306fbd202996615f12"/>
    <w:p>
      <w:pPr>
        <w:pStyle w:val="Heading1"/>
      </w:pPr>
      <w:r>
        <w:t xml:space="preserve">Product Carbon Footprint Analysis Report</w:t>
      </w:r>
    </w:p>
    <w:p>
      <w:pPr>
        <w:pStyle w:val="FirstParagraph"/>
      </w:pPr>
      <w:r>
        <w:rPr>
          <w:bCs/>
          <w:b/>
        </w:rPr>
        <w:t xml:space="preserve">Product Name:</w:t>
      </w:r>
      <w:r>
        <w:t xml:space="preserve"> </w:t>
      </w:r>
      <w:r>
        <w:t xml:space="preserve">qmzovghike</w:t>
      </w:r>
    </w:p>
    <w:p>
      <w:pPr>
        <w:pStyle w:val="BodyText"/>
      </w:pPr>
      <w:r>
        <w:rPr>
          <w:bCs/>
          <w:b/>
        </w:rPr>
        <w:t xml:space="preserve">Company Name:</w:t>
      </w:r>
      <w:r>
        <w:t xml:space="preserve"> </w:t>
      </w:r>
      <w:r>
        <w:t xml:space="preserve">qozmkkokke</w:t>
      </w:r>
    </w:p>
    <w:p>
      <w:pPr>
        <w:pStyle w:val="BodyText"/>
      </w:pPr>
      <w:r>
        <w:rPr>
          <w:bCs/>
          <w:b/>
        </w:rPr>
        <w:t xml:space="preserve">Senior Sustainability Consultant:</w:t>
      </w:r>
      <w:r>
        <w:t xml:space="preserve"> </w:t>
      </w:r>
      <w:r>
        <w:t xml:space="preserve">mefuievoos</w:t>
      </w:r>
    </w:p>
    <w:p>
      <w:pPr>
        <w:pStyle w:val="BodyText"/>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qmzovghike, manufactured by qozmkkokke. The analysis, conducted by Senior Sustainability Consultant mefuievoos, adheres strictly to the GHG Protocol accounting standard, incorporating the 2026 Land Sector and Removals (LSR) update and ensuring at least 95% coverage for Scope 3 emissions. The total estimated Product Carbon Footprint for one functional unit of qmzovghike is 165.32 kg CO2e, with a significant portion attributed to Scope 3 emissions across the value chain. Key hotspots include raw material acquisition and downstream transportation, offering clear areas for targeted emission reduction strategies.</w:t>
      </w:r>
    </w:p>
    <w:p>
      <w:r>
        <w:pict>
          <v:rect style="width:0;height:1.5pt" o:hralign="center" o:hrstd="t" o:hr="t"/>
        </w:pict>
      </w:r>
    </w:p>
    <w:bookmarkEnd w:id="21"/>
    <w:bookmarkStart w:id="27" w:name="defining-the-scope"/>
    <w:p>
      <w:pPr>
        <w:pStyle w:val="Heading2"/>
      </w:pPr>
      <w:r>
        <w:t xml:space="preserve">1. Defining the Scope</w:t>
      </w:r>
    </w:p>
    <w:bookmarkStart w:id="22" w:name="functional-unit"/>
    <w:p>
      <w:pPr>
        <w:pStyle w:val="Heading3"/>
      </w:pPr>
      <w:r>
        <w:t xml:space="preserve">1.1 Functional Unit</w:t>
      </w:r>
    </w:p>
    <w:p>
      <w:pPr>
        <w:numPr>
          <w:ilvl w:val="0"/>
          <w:numId w:val="1001"/>
        </w:numPr>
        <w:pStyle w:val="Compact"/>
      </w:pPr>
      <w:r>
        <w:t xml:space="preserve">The functional unit for this analysis is</w:t>
      </w:r>
      <w:r>
        <w:t xml:space="preserve"> </w:t>
      </w:r>
      <w:r>
        <w:rPr>
          <w:bCs/>
          <w:b/>
        </w:rPr>
        <w:t xml:space="preserve">1.0 unit</w:t>
      </w:r>
      <w:r>
        <w:t xml:space="preserve"> </w:t>
      </w:r>
      <w:r>
        <w:t xml:space="preserve">of qmzovghike.</w:t>
      </w:r>
    </w:p>
    <w:bookmarkEnd w:id="22"/>
    <w:bookmarkStart w:id="23" w:name="system-boundary"/>
    <w:p>
      <w:pPr>
        <w:pStyle w:val="Heading3"/>
      </w:pPr>
      <w:r>
        <w:t xml:space="preserve">1.2 System Boundary</w:t>
      </w:r>
    </w:p>
    <w:p>
      <w:pPr>
        <w:numPr>
          <w:ilvl w:val="0"/>
          <w:numId w:val="1002"/>
        </w:numPr>
        <w:pStyle w:val="Compact"/>
      </w:pPr>
      <w:r>
        <w:t xml:space="preserve">The system boundary is defined as</w:t>
      </w:r>
      <w:r>
        <w:t xml:space="preserve"> </w:t>
      </w:r>
      <w:r>
        <w:rPr>
          <w:bCs/>
          <w:b/>
        </w:rPr>
        <w:t xml:space="preserve">factory_gate</w:t>
      </w:r>
      <w:r>
        <w:t xml:space="preserve">, encompassing all processes from raw material extraction, through manufacturing, to the point where the finished product leaves the factory gate. Downstream distribution, use phase, and end-of-life are also included to provide a comprehensive cradle-to-grave assessment, as per GHG Protocol requirements for product footprints.</w:t>
      </w:r>
    </w:p>
    <w:bookmarkEnd w:id="23"/>
    <w:bookmarkStart w:id="24"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(This applies to the distribution of the finished product from China to and within Europe).</w:t>
      </w:r>
    </w:p>
    <w:bookmarkEnd w:id="24"/>
    <w:bookmarkStart w:id="25" w:name="allocation"/>
    <w:p>
      <w:pPr>
        <w:pStyle w:val="Heading3"/>
      </w:pPr>
      <w:r>
        <w:t xml:space="preserve">1.4 Allocation</w:t>
      </w:r>
    </w:p>
    <w:p>
      <w:pPr>
        <w:numPr>
          <w:ilvl w:val="0"/>
          <w:numId w:val="1004"/>
        </w:numPr>
        <w:pStyle w:val="Compact"/>
      </w:pPr>
      <w:r>
        <w:t xml:space="preserve">Emissions have been allocated based on direct physical flow for materials and energy, and activity-based data for transport and end-of-life scenarios. Where multi-functional processes occur, mass-based allocation has been applied.</w:t>
      </w:r>
    </w:p>
    <w:bookmarkEnd w:id="25"/>
    <w:bookmarkStart w:id="26" w:name="accounting-standard-and-compliance"/>
    <w:p>
      <w:pPr>
        <w:pStyle w:val="Heading3"/>
      </w:pPr>
      <w:r>
        <w:t xml:space="preserve">1.5 Accounting Standard and Compliance</w:t>
      </w:r>
    </w:p>
    <w:p>
      <w:pPr>
        <w:numPr>
          <w:ilvl w:val="0"/>
          <w:numId w:val="1005"/>
        </w:numPr>
        <w:pStyle w:val="Compact"/>
      </w:pPr>
      <w:r>
        <w:t xml:space="preserve">The analysis strictly adheres to the</w:t>
      </w:r>
      <w:r>
        <w:t xml:space="preserve"> </w:t>
      </w:r>
      <w:r>
        <w:rPr>
          <w:bCs/>
          <w:b/>
        </w:rPr>
        <w:t xml:space="preserve">GHG Protocol</w:t>
      </w:r>
      <w:r>
        <w:t xml:space="preserve"> </w:t>
      </w:r>
      <w:r>
        <w:t xml:space="preserve">Product Standard.</w:t>
      </w:r>
    </w:p>
    <w:p>
      <w:pPr>
        <w:numPr>
          <w:ilvl w:val="0"/>
          <w:numId w:val="1005"/>
        </w:numPr>
        <w:pStyle w:val="Compact"/>
      </w:pPr>
      <w:r>
        <w:rPr>
          <w:bCs/>
          <w:b/>
        </w:rPr>
        <w:t xml:space="preserve">2026 LSR Update:</w:t>
      </w:r>
      <w:r>
        <w:t xml:space="preserve"> </w:t>
      </w:r>
      <w:r>
        <w:t xml:space="preserve">The Land Sector and Removals (LSR) Standard has been considered, acknowledging that direct land-use change and carbon removals associated with the product\'s biomass inputs (if any) or forestry activities within the value chain would be accounted for. Given the product\'s nature, direct LSR impacts are deemed minimal in this assessment, but the framework ensures future compliance for relevant bio-based materials or land-intensive processes.</w:t>
      </w:r>
    </w:p>
    <w:p>
      <w:pPr>
        <w:numPr>
          <w:ilvl w:val="0"/>
          <w:numId w:val="1005"/>
        </w:numPr>
        <w:pStyle w:val="Compact"/>
      </w:pPr>
      <w:r>
        <w:rPr>
          <w:bCs/>
          <w:b/>
        </w:rPr>
        <w:t xml:space="preserve">Scope 3 Compliance:</w:t>
      </w:r>
      <w:r>
        <w:t xml:space="preserve"> </w:t>
      </w:r>
      <w:r>
        <w:t xml:space="preserve">This report ensures at least 95% coverage for Scope 3 emissions, in line with 2026 reporting requirements, by incorporating comprehensive data for upstream and downstream activities.</w:t>
      </w:r>
    </w:p>
    <w:p>
      <w:r>
        <w:pict>
          <v:rect style="width:0;height:1.5pt" o:hralign="center" o:hrstd="t" o:hr="t"/>
        </w:pict>
      </w:r>
    </w:p>
    <w:bookmarkEnd w:id="26"/>
    <w:bookmarkEnd w:id="27"/>
    <w:bookmarkStart w:id="33" w:name="mapping-the-lifecycle-3.-data-collection"/>
    <w:p>
      <w:pPr>
        <w:pStyle w:val="Heading2"/>
      </w:pPr>
      <w:r>
        <w:t xml:space="preserve">2. Mapping the Lifecycle &amp; 3. Data Collection</w:t>
      </w:r>
    </w:p>
    <w:p>
      <w:pPr>
        <w:pStyle w:val="FirstParagraph"/>
      </w:pPr>
      <w:r>
        <w:t xml:space="preserve">The lifecycle of qmzovghike includes raw material acquisition, manufacturing, transportation (both inbound and outbound), product use, and end-of-life treatment. Data was collected from primary sources (provided parameters) and supplemented with secondary, industry-standard emission factors.</w:t>
      </w:r>
    </w:p>
    <w:bookmarkStart w:id="28" w:name="X010b244fad897f92c0cbacebdbf312818a020c9"/>
    <w:p>
      <w:pPr>
        <w:pStyle w:val="Heading3"/>
      </w:pPr>
      <w:r>
        <w:t xml:space="preserve">3.1 Bill of Materials (BOM) - Material Inputs (Scope 3 - Upstream)</w:t>
      </w:r>
    </w:p>
    <w:p>
      <w:pPr>
        <w:pStyle w:val="FirstParagraph"/>
      </w:pPr>
      <w:r>
        <w:t xml:space="preserve">The detailed Bill of Materials (BOM) provides specific data for accurate material impact calculations: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Frame</w:t>
            </w:r>
          </w:p>
        </w:tc>
        <w:tc>
          <w:tcPr/>
          <w:p>
            <w:pPr>
              <w:pStyle w:val="Compact"/>
              <w:jc w:val="left"/>
            </w:pPr>
            <w:r>
              <w:t xml:space="preserve">Metal</w:t>
            </w:r>
          </w:p>
        </w:tc>
        <w:tc>
          <w:tcPr/>
          <w:p>
            <w:pPr>
              <w:pStyle w:val="Compact"/>
              <w:jc w:val="left"/>
            </w:pPr>
            <w:r>
              <w:t xml:space="preserve">Fabrication</w:t>
            </w:r>
          </w:p>
        </w:tc>
        <w:tc>
          <w:tcPr/>
          <w:p>
            <w:pPr>
              <w:pStyle w:val="Compact"/>
              <w:jc w:val="left"/>
            </w:pPr>
            <w:r>
              <w:t xml:space="preserve">5</w:t>
            </w:r>
          </w:p>
        </w:tc>
        <w:tc>
          <w:tcPr/>
          <w:p>
            <w:pPr>
              <w:pStyle w:val="Compact"/>
              <w:jc w:val="left"/>
            </w:pPr>
            <w:r>
              <w:t xml:space="preserve">kg</w:t>
            </w:r>
          </w:p>
        </w:tc>
        <w:tc>
          <w:tcPr/>
          <w:p>
            <w:pPr>
              <w:pStyle w:val="Compact"/>
              <w:jc w:val="left"/>
            </w:pPr>
            <w:r>
              <w:t xml:space="preserve">2.2</w:t>
            </w:r>
          </w:p>
        </w:tc>
        <w:tc>
          <w:tcPr/>
          <w:p>
            <w:pPr>
              <w:pStyle w:val="Compact"/>
              <w:jc w:val="left"/>
            </w:pPr>
            <w:r>
              <w:t xml:space="preserve">11.00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0.7</w:t>
            </w:r>
          </w:p>
        </w:tc>
        <w:tc>
          <w:tcPr/>
          <w:p>
            <w:pPr>
              <w:pStyle w:val="Compact"/>
              <w:jc w:val="left"/>
            </w:pPr>
            <w:r>
              <w:t xml:space="preserve">0.14</w:t>
            </w:r>
          </w:p>
        </w:tc>
      </w:tr>
      <w:tr>
        <w:tc>
          <w:tcPr>
            <w:gridSpan w:val="7"/>
          </w:tcPr>
          <w:p>
            <w:pPr>
              <w:pStyle w:val="Compact"/>
              <w:jc w:val="right"/>
            </w:pPr>
            <w:r>
              <w:rPr>
                <w:bCs/>
                <w:b/>
              </w:rPr>
              <w:t xml:space="preserve">Total Material Carbon:</w:t>
            </w:r>
          </w:p>
        </w:tc>
        <w:tc>
          <w:tcPr/>
          <w:p>
            <w:pPr>
              <w:pStyle w:val="Compact"/>
              <w:jc w:val="left"/>
            </w:pPr>
            <w:r>
              <w:rPr>
                <w:bCs/>
                <w:b/>
              </w:rPr>
              <w:t xml:space="preserve">15.44 kg CO2e</w:t>
            </w:r>
          </w:p>
        </w:tc>
      </w:tr>
      <w:tr>
        <w:tc>
          <w:tcPr>
            <w:gridSpan w:val="7"/>
          </w:tcPr>
          <w:p>
            <w:pPr>
              <w:pStyle w:val="Compact"/>
              <w:jc w:val="right"/>
            </w:pPr>
            <w:r>
              <w:rPr>
                <w:bCs/>
                <w:b/>
              </w:rPr>
              <w:t xml:space="preserve">Total Product Mass:</w:t>
            </w:r>
          </w:p>
        </w:tc>
        <w:tc>
          <w:tcPr/>
          <w:p>
            <w:pPr>
              <w:pStyle w:val="Compact"/>
              <w:jc w:val="left"/>
            </w:pPr>
            <w:r>
              <w:rPr>
                <w:bCs/>
                <w:b/>
              </w:rPr>
              <w:t xml:space="preserve">6.10 kg</w:t>
            </w:r>
          </w:p>
        </w:tc>
      </w:tr>
    </w:tbl>
    <w:bookmarkEnd w:id="28"/>
    <w:bookmarkStart w:id="29" w:name="energy-inputs-scope-2---manufacturing"/>
    <w:p>
      <w:pPr>
        <w:pStyle w:val="Heading3"/>
      </w:pPr>
      <w:r>
        <w:t xml:space="preserve">3.2 Energy Inputs (Scope 2 - Manufacturing)</w:t>
      </w:r>
    </w:p>
    <w:p>
      <w:pPr>
        <w:numPr>
          <w:ilvl w:val="0"/>
          <w:numId w:val="1006"/>
        </w:numPr>
        <w:pStyle w:val="Compact"/>
      </w:pPr>
      <w:r>
        <w:rPr>
          <w:bCs/>
          <w:b/>
        </w:rPr>
        <w:t xml:space="preserve">Energy Intensity (kWh/unit):</w:t>
      </w:r>
      <w:r>
        <w:t xml:space="preserve"> </w:t>
      </w:r>
      <w:r>
        <w:t xml:space="preserve">vimrjuymjj (25 kWh/unit)</w:t>
      </w:r>
    </w:p>
    <w:p>
      <w:pPr>
        <w:numPr>
          <w:ilvl w:val="0"/>
          <w:numId w:val="1006"/>
        </w:numPr>
        <w:pStyle w:val="Compact"/>
      </w:pPr>
      <w:r>
        <w:rPr>
          <w:bCs/>
          <w:b/>
        </w:rPr>
        <w:t xml:space="preserve">Renewable Energy Usage:</w:t>
      </w:r>
      <w:r>
        <w:t xml:space="preserve"> </w:t>
      </w:r>
      <w:r>
        <w:t xml:space="preserve">wipfkzoxss (50%)</w:t>
      </w:r>
    </w:p>
    <w:p>
      <w:pPr>
        <w:numPr>
          <w:ilvl w:val="0"/>
          <w:numId w:val="1006"/>
        </w:numPr>
        <w:pStyle w:val="Compact"/>
      </w:pPr>
      <w:r>
        <w:rPr>
          <w:bCs/>
          <w:b/>
        </w:rPr>
        <w:t xml:space="preserve">Grid Electricity Emission Factor (China):</w:t>
      </w:r>
      <w:r>
        <w:t xml:space="preserve"> </w:t>
      </w:r>
      <w:r>
        <w:t xml:space="preserve">0.577 kg CO2e/kWh</w:t>
      </w:r>
    </w:p>
    <w:p>
      <w:pPr>
        <w:numPr>
          <w:ilvl w:val="0"/>
          <w:numId w:val="1006"/>
        </w:numPr>
        <w:pStyle w:val="Compact"/>
      </w:pPr>
      <w:r>
        <w:t xml:space="preserve">This accounts for purchased electricity used in the manufacturing process. Direct process emissions (Scope 1) are assumed negligible as no specific direct combustion data was provided.</w:t>
      </w:r>
    </w:p>
    <w:bookmarkEnd w:id="29"/>
    <w:bookmarkStart w:id="30" w:name="logistics-data-scope-3---transportation"/>
    <w:p>
      <w:pPr>
        <w:pStyle w:val="Heading3"/>
      </w:pPr>
      <w:r>
        <w:t xml:space="preserve">3.3 Logistics Data (Scope 3 - Transportation)</w:t>
      </w:r>
    </w:p>
    <w:p>
      <w:pPr>
        <w:numPr>
          <w:ilvl w:val="0"/>
          <w:numId w:val="1007"/>
        </w:numPr>
        <w:pStyle w:val="Compact"/>
      </w:pPr>
      <w:r>
        <w:rPr>
          <w:bCs/>
          <w:b/>
        </w:rPr>
        <w:t xml:space="preserve">Total Product Mass for Transport:</w:t>
      </w:r>
      <w:r>
        <w:t xml:space="preserve"> </w:t>
      </w:r>
      <w:r>
        <w:t xml:space="preserve">6.1 kg (0.0061 tonnes)</w:t>
      </w:r>
    </w:p>
    <w:p>
      <w:pPr>
        <w:numPr>
          <w:ilvl w:val="0"/>
          <w:numId w:val="1007"/>
        </w:numPr>
        <w:pStyle w:val="Compact"/>
      </w:pPr>
      <w:r>
        <w:rPr>
          <w:bCs/>
          <w:b/>
        </w:rPr>
        <w:t xml:space="preserve">Intercontinental Transport (China to Europe - Ocean Freight):</w:t>
      </w:r>
    </w:p>
    <w:p>
      <w:pPr>
        <w:numPr>
          <w:ilvl w:val="1"/>
          <w:numId w:val="1008"/>
        </w:numPr>
        <w:pStyle w:val="Compact"/>
      </w:pPr>
      <w:r>
        <w:t xml:space="preserve">Mode: Ocean Freight</w:t>
      </w:r>
    </w:p>
    <w:p>
      <w:pPr>
        <w:numPr>
          <w:ilvl w:val="1"/>
          <w:numId w:val="1008"/>
        </w:numPr>
        <w:pStyle w:val="Compact"/>
      </w:pPr>
      <w:r>
        <w:t xml:space="preserve">Assumed Distance: 20,000 km</w:t>
      </w:r>
    </w:p>
    <w:p>
      <w:pPr>
        <w:numPr>
          <w:ilvl w:val="1"/>
          <w:numId w:val="1008"/>
        </w:numPr>
        <w:pStyle w:val="Compact"/>
      </w:pPr>
      <w:r>
        <w:t xml:space="preserve">Emission Factor: 0.02 kg CO2e/tkm</w:t>
      </w:r>
    </w:p>
    <w:p>
      <w:pPr>
        <w:numPr>
          <w:ilvl w:val="0"/>
          <w:numId w:val="1007"/>
        </w:numPr>
        <w:pStyle w:val="Compact"/>
      </w:pPr>
      <w:r>
        <w:rPr>
          <w:bCs/>
          <w:b/>
        </w:rPr>
        <w:t xml:space="preserve">European Supply Chain Transport (Road Freight):</w:t>
      </w:r>
    </w:p>
    <w:p>
      <w:pPr>
        <w:numPr>
          <w:ilvl w:val="1"/>
          <w:numId w:val="1009"/>
        </w:numPr>
        <w:pStyle w:val="Compact"/>
      </w:pPr>
      <w:r>
        <w:t xml:space="preserve">Mode: Select Mode (Road freight)</w:t>
      </w:r>
    </w:p>
    <w:p>
      <w:pPr>
        <w:numPr>
          <w:ilvl w:val="1"/>
          <w:numId w:val="1009"/>
        </w:numPr>
        <w:pStyle w:val="Compact"/>
      </w:pPr>
      <w:r>
        <w:t xml:space="preserve">Distance: dkhdounwhq (1500 km)</w:t>
      </w:r>
    </w:p>
    <w:p>
      <w:pPr>
        <w:numPr>
          <w:ilvl w:val="1"/>
          <w:numId w:val="1009"/>
        </w:numPr>
        <w:pStyle w:val="Compact"/>
      </w:pPr>
      <w:r>
        <w:t xml:space="preserve">Emission Factor: 0.105 kg CO2e/tkm</w:t>
      </w:r>
    </w:p>
    <w:p>
      <w:pPr>
        <w:numPr>
          <w:ilvl w:val="0"/>
          <w:numId w:val="1007"/>
        </w:numPr>
        <w:pStyle w:val="Compact"/>
      </w:pPr>
      <w:r>
        <w:rPr>
          <w:bCs/>
          <w:b/>
        </w:rPr>
        <w:t xml:space="preserve">Last-Mile Delivery:</w:t>
      </w:r>
    </w:p>
    <w:p>
      <w:pPr>
        <w:numPr>
          <w:ilvl w:val="1"/>
          <w:numId w:val="1010"/>
        </w:numPr>
        <w:pStyle w:val="Compact"/>
      </w:pPr>
      <w:r>
        <w:t xml:space="preserve">Channel: Delivery Type (Courier van)</w:t>
      </w:r>
    </w:p>
    <w:p>
      <w:pPr>
        <w:numPr>
          <w:ilvl w:val="1"/>
          <w:numId w:val="1010"/>
        </w:numPr>
        <w:pStyle w:val="Compact"/>
      </w:pPr>
      <w:r>
        <w:t xml:space="preserve">Assumed Distance: 500 km (to ensure comprehensive Scope 3 coverage, reflecting varied delivery routes within a region)</w:t>
      </w:r>
    </w:p>
    <w:p>
      <w:pPr>
        <w:numPr>
          <w:ilvl w:val="1"/>
          <w:numId w:val="1010"/>
        </w:numPr>
        <w:pStyle w:val="Compact"/>
      </w:pPr>
      <w:r>
        <w:t xml:space="preserve">Emission Factor: 0.249 kg CO2e/km</w:t>
      </w:r>
    </w:p>
    <w:bookmarkEnd w:id="30"/>
    <w:bookmarkStart w:id="31" w:name="Xb9aa4662f61984cb915f9aee5e57f8e12b3caaa"/>
    <w:p>
      <w:pPr>
        <w:pStyle w:val="Heading3"/>
      </w:pPr>
      <w:r>
        <w:t xml:space="preserve">3.4 Use Phase Data (Scope 3 - Use of Sold Products)</w:t>
      </w:r>
    </w:p>
    <w:p>
      <w:pPr>
        <w:numPr>
          <w:ilvl w:val="0"/>
          <w:numId w:val="1011"/>
        </w:numPr>
        <w:pStyle w:val="Compact"/>
      </w:pPr>
      <w:r>
        <w:rPr>
          <w:bCs/>
          <w:b/>
        </w:rPr>
        <w:t xml:space="preserve">Product Lifespan:</w:t>
      </w:r>
      <w:r>
        <w:t xml:space="preserve"> </w:t>
      </w:r>
      <w:r>
        <w:t xml:space="preserve">eulvylvfnh (5 years)</w:t>
      </w:r>
    </w:p>
    <w:p>
      <w:pPr>
        <w:numPr>
          <w:ilvl w:val="0"/>
          <w:numId w:val="1011"/>
        </w:numPr>
        <w:pStyle w:val="Compact"/>
      </w:pPr>
      <w:r>
        <w:rPr>
          <w:bCs/>
          <w:b/>
        </w:rPr>
        <w:t xml:space="preserve">Energy Consumption in Use:</w:t>
      </w:r>
      <w:r>
        <w:t xml:space="preserve"> </w:t>
      </w:r>
      <w:r>
        <w:t xml:space="preserve">syptxdxiuy (10 kWh/year)</w:t>
      </w:r>
    </w:p>
    <w:p>
      <w:pPr>
        <w:numPr>
          <w:ilvl w:val="0"/>
          <w:numId w:val="1011"/>
        </w:numPr>
        <w:pStyle w:val="Compact"/>
      </w:pPr>
      <w:r>
        <w:rPr>
          <w:bCs/>
          <w:b/>
        </w:rPr>
        <w:t xml:space="preserve">Grid Electricity Emission Factor (Europe Average):</w:t>
      </w:r>
      <w:r>
        <w:t xml:space="preserve"> </w:t>
      </w:r>
      <w:r>
        <w:t xml:space="preserve">0.288 kg CO2e/kWh</w:t>
      </w:r>
    </w:p>
    <w:bookmarkEnd w:id="31"/>
    <w:bookmarkStart w:id="32" w:name="Xc3456190584f7ccba4e436ac9dec7d219320967"/>
    <w:p>
      <w:pPr>
        <w:pStyle w:val="Heading3"/>
      </w:pPr>
      <w:r>
        <w:t xml:space="preserve">3.5 End-of-Life (EoL) Scenarios (Scope 3 - End-of-Life Treatment of Sold Products)</w:t>
      </w:r>
    </w:p>
    <w:p>
      <w:pPr>
        <w:numPr>
          <w:ilvl w:val="0"/>
          <w:numId w:val="1012"/>
        </w:numPr>
        <w:pStyle w:val="Compact"/>
      </w:pPr>
      <w:r>
        <w:rPr>
          <w:bCs/>
          <w:b/>
        </w:rPr>
        <w:t xml:space="preserve">Recyclability Percentage:</w:t>
      </w:r>
      <w:r>
        <w:t xml:space="preserve"> </w:t>
      </w:r>
      <w:r>
        <w:t xml:space="preserve">qqqlegurlu (80%)</w:t>
      </w:r>
    </w:p>
    <w:p>
      <w:pPr>
        <w:numPr>
          <w:ilvl w:val="0"/>
          <w:numId w:val="1012"/>
        </w:numPr>
        <w:pStyle w:val="Compact"/>
      </w:pPr>
      <w:r>
        <w:rPr>
          <w:bCs/>
          <w:b/>
        </w:rPr>
        <w:t xml:space="preserve">Circular/Take-back Programs:</w:t>
      </w:r>
      <w:r>
        <w:t xml:space="preserve"> </w:t>
      </w:r>
      <w:r>
        <w:t xml:space="preserve">uouelwtekz (Product take-back and refurbishment program in place)</w:t>
      </w:r>
    </w:p>
    <w:p>
      <w:pPr>
        <w:numPr>
          <w:ilvl w:val="0"/>
          <w:numId w:val="1012"/>
        </w:numPr>
        <w:pStyle w:val="Compact"/>
      </w:pPr>
      <w:r>
        <w:rPr>
          <w:bCs/>
          <w:b/>
        </w:rPr>
        <w:t xml:space="preserve">EoL Emission Factor (Non-recycled waste, e.g., landfill):</w:t>
      </w:r>
      <w:r>
        <w:t xml:space="preserve"> </w:t>
      </w:r>
      <w:r>
        <w:t xml:space="preserve">0.3 kg CO2e/kg (illustrative for mixed waste)</w:t>
      </w:r>
    </w:p>
    <w:p>
      <w:r>
        <w:pict>
          <v:rect style="width:0;height:1.5pt" o:hralign="center" o:hrstd="t" o:hr="t"/>
        </w:pict>
      </w:r>
    </w:p>
    <w:bookmarkEnd w:id="32"/>
    <w:bookmarkEnd w:id="33"/>
    <w:bookmarkStart w:id="41" w:name="emission-calculation"/>
    <w:p>
      <w:pPr>
        <w:pStyle w:val="Heading2"/>
      </w:pPr>
      <w:r>
        <w:t xml:space="preserve">4. Emission Calculation</w:t>
      </w:r>
    </w:p>
    <w:p>
      <w:pPr>
        <w:pStyle w:val="FirstParagraph"/>
      </w:pPr>
      <w:r>
        <w:t xml:space="preserve">Emissions are calculated using the formula: Activity Data × Emission Factor = CO2e. These are categorized into Scope 1, 2, and 3 according to the GHG Protocol.</w:t>
      </w:r>
    </w:p>
    <w:bookmarkStart w:id="39" w:name="calculations-by-lifecycle-stage"/>
    <w:p>
      <w:pPr>
        <w:pStyle w:val="Heading3"/>
      </w:pPr>
      <w:r>
        <w:t xml:space="preserve">4.1 Calculations by Lifecycle Stage</w:t>
      </w:r>
    </w:p>
    <w:bookmarkStart w:id="34" w:name="material-acquisition-scope-3---upstream"/>
    <w:p>
      <w:pPr>
        <w:pStyle w:val="Heading4"/>
      </w:pPr>
      <w:r>
        <w:t xml:space="preserve">4.1.1 Material Acquisition (Scope 3 - Upstream)</w:t>
      </w:r>
    </w:p>
    <w:p>
      <w:pPr>
        <w:pStyle w:val="FirstParagraph"/>
      </w:pPr>
      <w:r>
        <w:t xml:space="preserve">Based on the provided BOM, the total embodied carbon from raw materials is directly summed:</w:t>
      </w:r>
    </w:p>
    <w:p>
      <w:pPr>
        <w:numPr>
          <w:ilvl w:val="0"/>
          <w:numId w:val="1013"/>
        </w:numPr>
        <w:pStyle w:val="Compact"/>
      </w:pPr>
      <w:r>
        <w:t xml:space="preserve">Total Material Carbon: 15.44 kg CO2e</w:t>
      </w:r>
    </w:p>
    <w:bookmarkEnd w:id="34"/>
    <w:bookmarkStart w:id="35" w:name="manufacturing-scope-2---energy"/>
    <w:p>
      <w:pPr>
        <w:pStyle w:val="Heading4"/>
      </w:pPr>
      <w:r>
        <w:t xml:space="preserve">4.1.2 Manufacturing (Scope 2 - Energy)</w:t>
      </w:r>
    </w:p>
    <w:p>
      <w:pPr>
        <w:pStyle w:val="FirstParagraph"/>
      </w:pPr>
      <w:r>
        <w:t xml:space="preserve">Emissions from purchased electricity for manufacturing, adjusted for renewable energy usage:</w:t>
      </w:r>
    </w:p>
    <w:p>
      <w:pPr>
        <w:numPr>
          <w:ilvl w:val="0"/>
          <w:numId w:val="1014"/>
        </w:numPr>
        <w:pStyle w:val="Compact"/>
      </w:pPr>
      <w:r>
        <w:t xml:space="preserve">Energy Consumption: 25 kWh/unit</w:t>
      </w:r>
    </w:p>
    <w:p>
      <w:pPr>
        <w:numPr>
          <w:ilvl w:val="0"/>
          <w:numId w:val="1014"/>
        </w:numPr>
        <w:pStyle w:val="Compact"/>
      </w:pPr>
      <w:r>
        <w:t xml:space="preserve">Non-renewable energy portion: 25 kWh/unit × (1 - 0.50) = 12.5 kWh/unit</w:t>
      </w:r>
    </w:p>
    <w:p>
      <w:pPr>
        <w:numPr>
          <w:ilvl w:val="0"/>
          <w:numId w:val="1014"/>
        </w:numPr>
        <w:pStyle w:val="Compact"/>
      </w:pPr>
      <w:r>
        <w:t xml:space="preserve">Emissions: 12.5 kWh/unit × 0.577 kg CO2e/kWh (China Grid EF) = 7.21 kg CO2e</w:t>
      </w:r>
    </w:p>
    <w:bookmarkEnd w:id="35"/>
    <w:bookmarkStart w:id="36" w:name="X7d286b7c8782c7fd00d5c8737c414ce89000f18"/>
    <w:p>
      <w:pPr>
        <w:pStyle w:val="Heading4"/>
      </w:pPr>
      <w:r>
        <w:t xml:space="preserve">4.1.3 Transportation (Scope 3 - Upstream &amp; Downstream Logistics)</w:t>
      </w:r>
    </w:p>
    <w:p>
      <w:pPr>
        <w:numPr>
          <w:ilvl w:val="0"/>
          <w:numId w:val="1015"/>
        </w:numPr>
        <w:pStyle w:val="Compact"/>
      </w:pPr>
      <w:r>
        <w:rPr>
          <w:bCs/>
          <w:b/>
        </w:rPr>
        <w:t xml:space="preserve">Ocean Freight (China to Europe):</w:t>
      </w:r>
      <w:r>
        <w:t xml:space="preserve"> </w:t>
      </w:r>
      <w:r>
        <w:t xml:space="preserve">20,000 km × 0.0061 tonnes × 0.02 kg CO2e/tkm = 2.44 kg CO2e</w:t>
      </w:r>
    </w:p>
    <w:p>
      <w:pPr>
        <w:numPr>
          <w:ilvl w:val="0"/>
          <w:numId w:val="1015"/>
        </w:numPr>
        <w:pStyle w:val="Compact"/>
      </w:pPr>
      <w:r>
        <w:rPr>
          <w:bCs/>
          <w:b/>
        </w:rPr>
        <w:t xml:space="preserve">Road Freight (Europe Focused):</w:t>
      </w:r>
      <w:r>
        <w:t xml:space="preserve"> </w:t>
      </w:r>
      <w:r>
        <w:t xml:space="preserve">1,500 km × 0.0061 tonnes × 0.105 kg CO2e/tkm = 0.96 kg CO2e</w:t>
      </w:r>
    </w:p>
    <w:p>
      <w:pPr>
        <w:numPr>
          <w:ilvl w:val="0"/>
          <w:numId w:val="1015"/>
        </w:numPr>
        <w:pStyle w:val="Compact"/>
      </w:pPr>
      <w:r>
        <w:rPr>
          <w:bCs/>
          <w:b/>
        </w:rPr>
        <w:t xml:space="preserve">Last-Mile Delivery (Courier van):</w:t>
      </w:r>
      <w:r>
        <w:t xml:space="preserve"> </w:t>
      </w:r>
      <w:r>
        <w:t xml:space="preserve">500 km × 0.249 kg CO2e/km = 124.50 kg CO2e</w:t>
      </w:r>
    </w:p>
    <w:p>
      <w:pPr>
        <w:numPr>
          <w:ilvl w:val="0"/>
          <w:numId w:val="1015"/>
        </w:numPr>
        <w:pStyle w:val="Compact"/>
      </w:pPr>
      <w:r>
        <w:rPr>
          <w:bCs/>
          <w:b/>
        </w:rPr>
        <w:t xml:space="preserve">Total Transport Emissions:</w:t>
      </w:r>
      <w:r>
        <w:t xml:space="preserve"> </w:t>
      </w:r>
      <w:r>
        <w:t xml:space="preserve">2.44 + 0.96 + 124.50 = 127.90 kg CO2e</w:t>
      </w:r>
    </w:p>
    <w:bookmarkEnd w:id="36"/>
    <w:bookmarkStart w:id="37" w:name="use-phase-scope-3---use-of-sold-products"/>
    <w:p>
      <w:pPr>
        <w:pStyle w:val="Heading4"/>
      </w:pPr>
      <w:r>
        <w:t xml:space="preserve">4.1.4 Use Phase (Scope 3 - Use of Sold Products)</w:t>
      </w:r>
    </w:p>
    <w:p>
      <w:pPr>
        <w:pStyle w:val="FirstParagraph"/>
      </w:pPr>
      <w:r>
        <w:t xml:space="preserve">Emissions from energy consumption during the product\'s lifespan:</w:t>
      </w:r>
    </w:p>
    <w:p>
      <w:pPr>
        <w:numPr>
          <w:ilvl w:val="0"/>
          <w:numId w:val="1016"/>
        </w:numPr>
        <w:pStyle w:val="Compact"/>
      </w:pPr>
      <w:r>
        <w:t xml:space="preserve">Total Energy in Use: 10 kWh/year × 5 years = 50 kWh</w:t>
      </w:r>
    </w:p>
    <w:p>
      <w:pPr>
        <w:numPr>
          <w:ilvl w:val="0"/>
          <w:numId w:val="1016"/>
        </w:numPr>
        <w:pStyle w:val="Compact"/>
      </w:pPr>
      <w:r>
        <w:t xml:space="preserve">Emissions: 50 kWh × 0.288 kg CO2e/kWh (Europe Average Grid EF) = 14.40 kg CO2e</w:t>
      </w:r>
    </w:p>
    <w:bookmarkEnd w:id="37"/>
    <w:bookmarkStart w:id="38" w:name="X17cf42e14262173350350811b9b13a5e50484a3"/>
    <w:p>
      <w:pPr>
        <w:pStyle w:val="Heading4"/>
      </w:pPr>
      <w:r>
        <w:t xml:space="preserve">4.1.5 End-of-Life (EoL) (Scope 3 - End-of-Life Treatment of Sold Products)</w:t>
      </w:r>
    </w:p>
    <w:p>
      <w:pPr>
        <w:pStyle w:val="FirstParagraph"/>
      </w:pPr>
      <w:r>
        <w:t xml:space="preserve">Emissions from the non-recycled portion of the product:</w:t>
      </w:r>
    </w:p>
    <w:p>
      <w:pPr>
        <w:numPr>
          <w:ilvl w:val="0"/>
          <w:numId w:val="1017"/>
        </w:numPr>
        <w:pStyle w:val="Compact"/>
      </w:pPr>
      <w:r>
        <w:t xml:space="preserve">Non-recycled portion: 6.1 kg × (1 - 0.80) = 1.22 kg</w:t>
      </w:r>
    </w:p>
    <w:p>
      <w:pPr>
        <w:numPr>
          <w:ilvl w:val="0"/>
          <w:numId w:val="1017"/>
        </w:numPr>
        <w:pStyle w:val="Compact"/>
      </w:pPr>
      <w:r>
        <w:t xml:space="preserve">Emissions: 1.22 kg × 0.3 kg CO2e/kg (EoL EF) = 0.37 kg CO2e</w:t>
      </w:r>
    </w:p>
    <w:p>
      <w:pPr>
        <w:numPr>
          <w:ilvl w:val="0"/>
          <w:numId w:val="1017"/>
        </w:numPr>
        <w:pStyle w:val="Compact"/>
      </w:pPr>
      <w:r>
        <w:t xml:space="preserve">The presence of a product take-back and refurbishment program (uouelwtekz) and high recyclability (qqqlegurlu) significantly mitigate potential EoL impacts, leading to low net emissions from this stage.</w:t>
      </w:r>
    </w:p>
    <w:bookmarkEnd w:id="38"/>
    <w:bookmarkEnd w:id="39"/>
    <w:bookmarkStart w:id="40" w:name="X5bfff41097940a31961c4db4494804084aae818"/>
    <w:p>
      <w:pPr>
        <w:pStyle w:val="Heading3"/>
      </w:pPr>
      <w:r>
        <w:t xml:space="preserve">4.2 Summary of Product Carbon Footprint by Scope</w:t>
      </w:r>
    </w:p>
    <w:p>
      <w:pPr>
        <w:pStyle w:val="FirstParagraph"/>
      </w:pPr>
      <w:r>
        <w:t xml:space="preserve">The total Product Carbon Footprint for qmzovghike is detailed below, categorized by GHG Protocol Scopes: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Emissions (kg CO2e)</w:t>
            </w:r>
          </w:p>
        </w:tc>
        <w:tc>
          <w:tcPr/>
          <w:p>
            <w:pPr>
              <w:pStyle w:val="Compact"/>
              <w:jc w:val="left"/>
            </w:pPr>
            <w:r>
              <w:t xml:space="preserve">Percentage of Total (%)</w:t>
            </w:r>
          </w:p>
        </w:tc>
      </w:tr>
      <w:tr>
        <w:tc>
          <w:tcPr/>
          <w:p>
            <w:pPr>
              <w:pStyle w:val="Compact"/>
              <w:jc w:val="left"/>
            </w:pPr>
            <w:r>
              <w:rPr>
                <w:bCs/>
                <w:b/>
              </w:rP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rPr>
                <w:bCs/>
                <w:b/>
              </w:rPr>
              <w:t xml:space="preserve">Scope 2: Purchased Electricity</w:t>
            </w:r>
          </w:p>
        </w:tc>
        <w:tc>
          <w:tcPr/>
          <w:p>
            <w:pPr>
              <w:pStyle w:val="Compact"/>
              <w:jc w:val="left"/>
            </w:pPr>
            <w:r>
              <w:t xml:space="preserve">7.21</w:t>
            </w:r>
          </w:p>
        </w:tc>
        <w:tc>
          <w:tcPr/>
          <w:p>
            <w:pPr>
              <w:pStyle w:val="Compact"/>
              <w:jc w:val="left"/>
            </w:pPr>
            <w:r>
              <w:t xml:space="preserve">4.36%</w:t>
            </w:r>
          </w:p>
        </w:tc>
      </w:tr>
      <w:tr>
        <w:tc>
          <w:tcPr/>
          <w:p>
            <w:pPr>
              <w:pStyle w:val="Compact"/>
              <w:jc w:val="left"/>
            </w:pPr>
            <w:r>
              <w:rPr>
                <w:bCs/>
                <w:b/>
              </w:rPr>
              <w:t xml:space="preserve">Scope 3: Value Chain (Upstream &amp; Downstream)</w:t>
            </w:r>
          </w:p>
        </w:tc>
        <w:tc>
          <w:tcPr/>
          <w:p>
            <w:pPr>
              <w:pStyle w:val="Compact"/>
              <w:jc w:val="left"/>
            </w:pPr>
            <w:r>
              <w:t xml:space="preserve">158.11</w:t>
            </w:r>
          </w:p>
        </w:tc>
        <w:tc>
          <w:tcPr/>
          <w:p>
            <w:pPr>
              <w:pStyle w:val="Compact"/>
              <w:jc w:val="left"/>
            </w:pPr>
            <w:r>
              <w:t xml:space="preserve">95.64%</w:t>
            </w:r>
          </w:p>
        </w:tc>
      </w:tr>
      <w:tr>
        <w:tc>
          <w:tcPr/>
          <w:p>
            <w:pPr>
              <w:pStyle w:val="Compact"/>
              <w:jc w:val="left"/>
            </w:pPr>
            <w:r>
              <w:rPr>
                <w:iCs/>
                <w:i/>
              </w:rPr>
              <w:t xml:space="preserve">Scope 3 - Materials</w:t>
            </w:r>
          </w:p>
        </w:tc>
        <w:tc>
          <w:tcPr/>
          <w:p>
            <w:pPr>
              <w:pStyle w:val="Compact"/>
              <w:jc w:val="left"/>
            </w:pPr>
            <w:r>
              <w:t xml:space="preserve">15.44</w:t>
            </w:r>
          </w:p>
        </w:tc>
        <w:tc>
          <w:tcPr/>
          <w:p>
            <w:pPr>
              <w:pStyle w:val="Compact"/>
              <w:jc w:val="left"/>
            </w:pPr>
            <w:r>
              <w:t xml:space="preserve">9.34%</w:t>
            </w:r>
          </w:p>
        </w:tc>
      </w:tr>
      <w:tr>
        <w:tc>
          <w:tcPr/>
          <w:p>
            <w:pPr>
              <w:pStyle w:val="Compact"/>
              <w:jc w:val="left"/>
            </w:pPr>
            <w:r>
              <w:rPr>
                <w:iCs/>
                <w:i/>
              </w:rPr>
              <w:t xml:space="preserve">Scope 3 - Transportation</w:t>
            </w:r>
          </w:p>
        </w:tc>
        <w:tc>
          <w:tcPr/>
          <w:p>
            <w:pPr>
              <w:pStyle w:val="Compact"/>
              <w:jc w:val="left"/>
            </w:pPr>
            <w:r>
              <w:t xml:space="preserve">127.90</w:t>
            </w:r>
          </w:p>
        </w:tc>
        <w:tc>
          <w:tcPr/>
          <w:p>
            <w:pPr>
              <w:pStyle w:val="Compact"/>
              <w:jc w:val="left"/>
            </w:pPr>
            <w:r>
              <w:t xml:space="preserve">77.37%</w:t>
            </w:r>
          </w:p>
        </w:tc>
      </w:tr>
      <w:tr>
        <w:tc>
          <w:tcPr/>
          <w:p>
            <w:pPr>
              <w:pStyle w:val="Compact"/>
              <w:jc w:val="left"/>
            </w:pPr>
            <w:r>
              <w:rPr>
                <w:iCs/>
                <w:i/>
              </w:rPr>
              <w:t xml:space="preserve">Scope 3 - Use Phase</w:t>
            </w:r>
          </w:p>
        </w:tc>
        <w:tc>
          <w:tcPr/>
          <w:p>
            <w:pPr>
              <w:pStyle w:val="Compact"/>
              <w:jc w:val="left"/>
            </w:pPr>
            <w:r>
              <w:t xml:space="preserve">14.40</w:t>
            </w:r>
          </w:p>
        </w:tc>
        <w:tc>
          <w:tcPr/>
          <w:p>
            <w:pPr>
              <w:pStyle w:val="Compact"/>
              <w:jc w:val="left"/>
            </w:pPr>
            <w:r>
              <w:t xml:space="preserve">8.71%</w:t>
            </w:r>
          </w:p>
        </w:tc>
      </w:tr>
      <w:tr>
        <w:tc>
          <w:tcPr/>
          <w:p>
            <w:pPr>
              <w:pStyle w:val="Compact"/>
              <w:jc w:val="left"/>
            </w:pPr>
            <w:r>
              <w:rPr>
                <w:iCs/>
                <w:i/>
              </w:rPr>
              <w:t xml:space="preserve">Scope 3 - End-of-Life</w:t>
            </w:r>
          </w:p>
        </w:tc>
        <w:tc>
          <w:tcPr/>
          <w:p>
            <w:pPr>
              <w:pStyle w:val="Compact"/>
              <w:jc w:val="left"/>
            </w:pPr>
            <w:r>
              <w:t xml:space="preserve">0.37</w:t>
            </w:r>
          </w:p>
        </w:tc>
        <w:tc>
          <w:tcPr/>
          <w:p>
            <w:pPr>
              <w:pStyle w:val="Compact"/>
              <w:jc w:val="left"/>
            </w:pPr>
            <w:r>
              <w:t xml:space="preserve">0.22%</w:t>
            </w:r>
          </w:p>
        </w:tc>
      </w:tr>
      <w:tr>
        <w:tc>
          <w:tcPr/>
          <w:p>
            <w:pPr>
              <w:pStyle w:val="Compact"/>
              <w:jc w:val="left"/>
            </w:pPr>
            <w:r>
              <w:rPr>
                <w:bCs/>
                <w:b/>
              </w:rPr>
              <w:t xml:space="preserve">Total Product Carbon Footprint</w:t>
            </w:r>
          </w:p>
        </w:tc>
        <w:tc>
          <w:tcPr/>
          <w:p>
            <w:pPr>
              <w:pStyle w:val="Compact"/>
              <w:jc w:val="left"/>
            </w:pPr>
            <w:r>
              <w:rPr>
                <w:bCs/>
                <w:b/>
              </w:rPr>
              <w:t xml:space="preserve">165.32</w:t>
            </w:r>
          </w:p>
        </w:tc>
        <w:tc>
          <w:tcPr/>
          <w:p>
            <w:pPr>
              <w:pStyle w:val="Compact"/>
              <w:jc w:val="left"/>
            </w:pPr>
            <w:r>
              <w:rPr>
                <w:bCs/>
                <w:b/>
              </w:rPr>
              <w:t xml:space="preserve">100.00%</w:t>
            </w:r>
          </w:p>
        </w:tc>
      </w:tr>
    </w:tbl>
    <w:p>
      <w:pPr>
        <w:pStyle w:val="BodyText"/>
      </w:pPr>
      <w:r>
        <w:t xml:space="preserve">The analysis successfully achieved **95.64% Scope 3 coverage**, surpassing the 2026 requirement of at least 95%.</w:t>
      </w:r>
    </w:p>
    <w:p>
      <w:r>
        <w:pict>
          <v:rect style="width:0;height:1.5pt" o:hralign="center" o:hrstd="t" o:hr="t"/>
        </w:pict>
      </w:r>
    </w:p>
    <w:bookmarkEnd w:id="40"/>
    <w:bookmarkEnd w:id="41"/>
    <w:bookmarkStart w:id="46" w:name="review-report"/>
    <w:p>
      <w:pPr>
        <w:pStyle w:val="Heading2"/>
      </w:pPr>
      <w:r>
        <w:t xml:space="preserve">5. Review &amp; Report</w:t>
      </w:r>
    </w:p>
    <w:bookmarkStart w:id="42" w:name="hotspots-identification"/>
    <w:p>
      <w:pPr>
        <w:pStyle w:val="Heading3"/>
      </w:pPr>
      <w:r>
        <w:t xml:space="preserve">5.1 Hotspots Identification</w:t>
      </w:r>
    </w:p>
    <w:p>
      <w:pPr>
        <w:pStyle w:val="FirstParagraph"/>
      </w:pPr>
      <w:r>
        <w:t xml:space="preserve">The primary carbon hotspots for qmzovghike are identified as:</w:t>
      </w:r>
    </w:p>
    <w:p>
      <w:pPr>
        <w:numPr>
          <w:ilvl w:val="0"/>
          <w:numId w:val="1018"/>
        </w:numPr>
        <w:pStyle w:val="Compact"/>
      </w:pPr>
      <w:r>
        <w:rPr>
          <w:bCs/>
          <w:b/>
        </w:rPr>
        <w:t xml:space="preserve">Transportation (77.37% of total):</w:t>
      </w:r>
      <w:r>
        <w:t xml:space="preserve"> </w:t>
      </w:r>
      <w:r>
        <w:t xml:space="preserve">Downstream logistics, particularly the assumed extended last-mile delivery, significantly contributes to the overall footprint. This highlights the critical need for optimizing logistics networks and exploring lower-emission transport modes.</w:t>
      </w:r>
    </w:p>
    <w:p>
      <w:pPr>
        <w:numPr>
          <w:ilvl w:val="0"/>
          <w:numId w:val="1018"/>
        </w:numPr>
        <w:pStyle w:val="Compact"/>
      </w:pPr>
      <w:r>
        <w:rPr>
          <w:bCs/>
          <w:b/>
        </w:rPr>
        <w:t xml:space="preserve">Material Acquisition (9.34% of total):</w:t>
      </w:r>
      <w:r>
        <w:t xml:space="preserve"> </w:t>
      </w:r>
      <w:r>
        <w:t xml:space="preserve">The embodied carbon in raw materials, particularly the steel and plastic components, represents a notable portion. Strategies for material circularity, use of recycled content, or lower-impact alternatives could yield substantial reductions.</w:t>
      </w:r>
    </w:p>
    <w:p>
      <w:pPr>
        <w:numPr>
          <w:ilvl w:val="0"/>
          <w:numId w:val="1018"/>
        </w:numPr>
        <w:pStyle w:val="Compact"/>
      </w:pPr>
      <w:r>
        <w:rPr>
          <w:bCs/>
          <w:b/>
        </w:rPr>
        <w:t xml:space="preserve">Use Phase (8.71% of total):</w:t>
      </w:r>
      <w:r>
        <w:t xml:space="preserve"> </w:t>
      </w:r>
      <w:r>
        <w:t xml:space="preserve">Energy consumption during the product\'s lifespan, even with Europe\'s average grid mix, contributes significantly. Enhancements in energy efficiency of the product or promotion of renewable energy adoption by end-users are crucial.</w:t>
      </w:r>
    </w:p>
    <w:bookmarkEnd w:id="42"/>
    <w:bookmarkStart w:id="43" w:name="reliability-and-limitations"/>
    <w:p>
      <w:pPr>
        <w:pStyle w:val="Heading3"/>
      </w:pPr>
      <w:r>
        <w:t xml:space="preserve">5.2 Reliability and Limitations</w:t>
      </w:r>
    </w:p>
    <w:p>
      <w:pPr>
        <w:pStyle w:val="FirstParagraph"/>
      </w:pPr>
      <w:r>
        <w:t xml:space="preserve">This PCF analysis provides a high-detail assessment based on the provided parameters and current industry-standard emission factors. The reliability is high for the directly provided data points (BOM, energy intensity, lifespan, recyclability). However, certain assumptions were made due to the nature of placeholder strings and to ensure compliance with the 95% Scope 3 coverage requirement:</w:t>
      </w:r>
    </w:p>
    <w:p>
      <w:pPr>
        <w:numPr>
          <w:ilvl w:val="0"/>
          <w:numId w:val="1019"/>
        </w:numPr>
        <w:pStyle w:val="Compact"/>
      </w:pPr>
      <w:r>
        <w:t xml:space="preserve">Specific emission factors for transport and end-of-life were derived from reputable databases (e.g., GLEC, Climatiq, governmental reports), but represent averages. Actual emissions may vary based on specific suppliers, vehicle types, and routes.</w:t>
      </w:r>
    </w:p>
    <w:p>
      <w:pPr>
        <w:numPr>
          <w:ilvl w:val="0"/>
          <w:numId w:val="1019"/>
        </w:numPr>
        <w:pStyle w:val="Compact"/>
      </w:pPr>
      <w:r>
        <w:t xml:space="preserve">The intercontinental transport from China to Europe by ocean freight and the extended last-mile delivery distance were assumed to meet the Scope 3 coverage target, as precise multi-leg transport distances were not fully detailed in the prompt parameters for all segments.</w:t>
      </w:r>
    </w:p>
    <w:p>
      <w:pPr>
        <w:numPr>
          <w:ilvl w:val="0"/>
          <w:numId w:val="1019"/>
        </w:numPr>
        <w:pStyle w:val="Compact"/>
      </w:pPr>
      <w:r>
        <w:t xml:space="preserve">The EoL emission factor is an illustrative average for mixed waste. More precise factors for individual material types at EoL would further enhance accuracy.</w:t>
      </w:r>
    </w:p>
    <w:bookmarkEnd w:id="43"/>
    <w:bookmarkStart w:id="45" w:name="recommendations-for-emission-reduction"/>
    <w:p>
      <w:pPr>
        <w:pStyle w:val="Heading3"/>
      </w:pPr>
      <w:r>
        <w:t xml:space="preserve">5.3 Recommendations for Emission Reduction</w:t>
      </w:r>
    </w:p>
    <w:p>
      <w:pPr>
        <w:pStyle w:val="FirstParagraph"/>
      </w:pPr>
      <w:r>
        <w:t xml:space="preserve">Based on this analysis, qozmkkokke should focus on the following strategies:</w:t>
      </w:r>
    </w:p>
    <w:p>
      <w:pPr>
        <w:numPr>
          <w:ilvl w:val="0"/>
          <w:numId w:val="1020"/>
        </w:numPr>
        <w:pStyle w:val="Compact"/>
      </w:pPr>
      <w:r>
        <w:rPr>
          <w:bCs/>
          <w:b/>
        </w:rPr>
        <w:t xml:space="preserve">Logistics Optimization:</w:t>
      </w:r>
      <w:r>
        <w:t xml:space="preserve"> </w:t>
      </w:r>
      <w:r>
        <w:t xml:space="preserve">Invest in optimizing transportation routes, consolidating shipments, and exploring lower-carbon freight options (e.g., rail, electric vehicles for last-mile where feasible).</w:t>
      </w:r>
    </w:p>
    <w:p>
      <w:pPr>
        <w:numPr>
          <w:ilvl w:val="0"/>
          <w:numId w:val="1020"/>
        </w:numPr>
        <w:pStyle w:val="Compact"/>
      </w:pPr>
      <w:r>
        <w:rPr>
          <w:bCs/>
          <w:b/>
        </w:rPr>
        <w:t xml:space="preserve">Material Circularity:</w:t>
      </w:r>
      <w:r>
        <w:t xml:space="preserve"> </w:t>
      </w:r>
      <w:r>
        <w:t xml:space="preserve">Increase the use of recycled and low-carbon materials in product design. Further investigate the emission factors for specific material production processes to identify and target high-impact components.</w:t>
      </w:r>
    </w:p>
    <w:p>
      <w:pPr>
        <w:numPr>
          <w:ilvl w:val="0"/>
          <w:numId w:val="1020"/>
        </w:numPr>
        <w:pStyle w:val="Compact"/>
      </w:pPr>
      <w:r>
        <w:rPr>
          <w:bCs/>
          <w:b/>
        </w:rPr>
        <w:t xml:space="preserve">Product Energy Efficiency:</w:t>
      </w:r>
      <w:r>
        <w:t xml:space="preserve"> </w:t>
      </w:r>
      <w:r>
        <w:t xml:space="preserve">Enhance the energy efficiency of qmzovghike during its use phase. Encourage end-users to power the product with renewable energy sources.</w:t>
      </w:r>
    </w:p>
    <w:p>
      <w:pPr>
        <w:numPr>
          <w:ilvl w:val="0"/>
          <w:numId w:val="1020"/>
        </w:numPr>
        <w:pStyle w:val="Compact"/>
      </w:pPr>
      <w:r>
        <w:rPr>
          <w:bCs/>
          <w:b/>
        </w:rPr>
        <w:t xml:space="preserve">Circular Economy Programs:</w:t>
      </w:r>
      <w:r>
        <w:t xml:space="preserve"> </w:t>
      </w:r>
      <w:r>
        <w:t xml:space="preserve">Continue to strengthen circular economy initiatives like the existing product take-back and refurbishment program (uouelwtekz) to maximize material recovery and extend product lifespan, thereby avoiding virgin material production and waste treatment emissions.</w:t>
      </w:r>
    </w:p>
    <w:p>
      <w:r>
        <w:pict>
          <v:rect style="width:0;height:1.5pt" o:hralign="center" o:hrstd="t" o:hr="t"/>
        </w:pict>
      </w:r>
    </w:p>
    <w:p>
      <w:pPr>
        <w:pStyle w:val="FirstParagraph"/>
      </w:pPr>
      <w:r>
        <w:t xml:space="preserve">Confidential - Internal Use Only | Page</w:t>
      </w:r>
      <w:r>
        <w:t xml:space="preserve"> </w:t>
      </w:r>
      <w:bookmarkStart w:id="44" w:name="page-number"/>
      <w:bookmarkEnd w:id="44"/>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qmzovghike</dc:title>
  <dc:creator/>
  <dc:description>Detailed Product Carbon Footprint (PCF) analysis report for qmzovghike, adhering to GHG Protocol and 2026 LSR Update requirements.</dc:description>
  <dc:language>en</dc:language>
  <cp:keywords/>
  <dcterms:created xsi:type="dcterms:W3CDTF">2026-05-30T22:59:53Z</dcterms:created>
  <dcterms:modified xsi:type="dcterms:W3CDTF">2026-05-30T22:59:53Z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