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qlysvkelxh</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qlysvkelxh</w:t>
      </w:r>
    </w:p>
    <w:p>
      <w:pPr>
        <w:pStyle w:val="BodyText"/>
      </w:pPr>
      <w:r>
        <w:rPr>
          <w:bCs/>
          <w:b/>
        </w:rPr>
        <w:t xml:space="preserve">Company Name:</w:t>
      </w:r>
      <w:r>
        <w:t xml:space="preserve"> </w:t>
      </w:r>
      <w:r>
        <w:t xml:space="preserve">ouyzzyykyi</w:t>
      </w:r>
    </w:p>
    <w:p>
      <w:pPr>
        <w:pStyle w:val="BodyText"/>
      </w:pPr>
      <w:r>
        <w:rPr>
          <w:bCs/>
          <w:b/>
        </w:rPr>
        <w:t xml:space="preserve">Senior Sustainability Consultant:</w:t>
      </w:r>
      <w:r>
        <w:t xml:space="preserve"> </w:t>
      </w:r>
      <w:r>
        <w:t xml:space="preserve">ruxpigrstw</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values may vary based on real-time operational data and evolving emission factors.</w:t>
      </w:r>
    </w:p>
    <w:bookmarkEnd w:id="20"/>
    <w:bookmarkStart w:id="21" w:name="X2a3847a78221b8f3694410e68c0daa5f336b02d"/>
    <w:p>
      <w:pPr>
        <w:pStyle w:val="Heading1"/>
      </w:pPr>
      <w:r>
        <w:t xml:space="preserve">Product Carbon Footprint (PCF) Analysis for qlysvkelxh</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ruxpigrstw</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qlysvkelxh, manufactured by ouyzzyykyi. The analysis adheres to the GHG Protocol standards, providing a comprehensive assessment of greenhouse gas (GHG) emissions across the product\'s lifecycle. The total carbon footprint for one functional unit of qlysvkelxh is calculated to be</w:t>
      </w:r>
      <w:r>
        <w:t xml:space="preserve"> </w:t>
      </w:r>
      <w:r>
        <w:rPr>
          <w:bCs/>
          <w:b/>
        </w:rPr>
        <w:t xml:space="preserve">50.45 kg CO2e</w:t>
      </w:r>
      <w:r>
        <w:t xml:space="preserve">. This assessment identifies key emission hotspots, particularly in the use phase and raw material acquisition, offering valuable insights for emission reduction strategies.</w:t>
      </w:r>
    </w:p>
    <w:bookmarkEnd w:id="22"/>
    <w:p>
      <w:r>
        <w:pict>
          <v:rect style="width:0;height:1.5pt" o:hralign="center" o:hrstd="t" o:hr="t"/>
        </w:pict>
      </w:r>
    </w:p>
    <w:bookmarkStart w:id="28" w:name="methodology-and-scope-definition"/>
    <w:p>
      <w:pPr>
        <w:pStyle w:val="Heading2"/>
      </w:pPr>
      <w:r>
        <w:t xml:space="preserve">1. Methodology and Scope Definition</w:t>
      </w:r>
    </w:p>
    <w:p>
      <w:pPr>
        <w:pStyle w:val="FirstParagraph"/>
      </w:pPr>
      <w:r>
        <w:t xml:space="preserve">As ruxpigrstw, a Senior Sustainability Consultant specializing in GHG Protocol, this PCF analysis for qlysvkelxh follows a robust five-step methodology: Define Scope, Map Lifecycle, Collect Data, Calculate Emissions, and Review &amp; Report.</w:t>
      </w:r>
    </w:p>
    <w:bookmarkStart w:id="23"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qlysvkelxh</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PCF analysis is "Cradle-to-Grave". While the parameter initially indicated \'factory_gate\', the subsequent requirements for \'Use Phase\' and \'End-of-Life\' calculations necessitate a full lifecycle assessment to capture all significant emissions across the value chain, consistent with a comprehensive PCF.</w:t>
      </w:r>
    </w:p>
    <w:p>
      <w:pPr>
        <w:numPr>
          <w:ilvl w:val="0"/>
          <w:numId w:val="1002"/>
        </w:numPr>
        <w:pStyle w:val="Compact"/>
      </w:pPr>
      <w:r>
        <w:t xml:space="preserve">This includes emissions from raw material extraction, manufacturing, transport, the product\'s use phase, and its end-of-life treatment.</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key raw materials or components originate from or are routed through Europe, and the final product is distributed in Europe).</w:t>
      </w:r>
    </w:p>
    <w:bookmarkEnd w:id="25"/>
    <w:bookmarkStart w:id="26" w:name="accounting-standard"/>
    <w:p>
      <w:pPr>
        <w:pStyle w:val="Heading3"/>
      </w:pPr>
      <w:r>
        <w:t xml:space="preserve">1.4. Accounting Standard</w:t>
      </w:r>
    </w:p>
    <w:p>
      <w:pPr>
        <w:numPr>
          <w:ilvl w:val="0"/>
          <w:numId w:val="1004"/>
        </w:numPr>
        <w:pStyle w:val="Compact"/>
      </w:pPr>
      <w:r>
        <w:t xml:space="preserve">This Product Carbon Footprint analysis is conducted in strict accordance with the</w:t>
      </w:r>
      <w:r>
        <w:t xml:space="preserve"> </w:t>
      </w:r>
      <w:r>
        <w:rPr>
          <w:bCs/>
          <w:b/>
        </w:rPr>
        <w:t xml:space="preserve">GHG Protocol</w:t>
      </w:r>
      <w:r>
        <w:t xml:space="preserve"> </w:t>
      </w:r>
      <w:r>
        <w:t xml:space="preserve">standards, categorizing emissions into Scope 1 (direct), Scope 2 (purchased energy), and Scope 3 (value chain).</w:t>
      </w:r>
    </w:p>
    <w:p>
      <w:pPr>
        <w:numPr>
          <w:ilvl w:val="0"/>
          <w:numId w:val="1004"/>
        </w:numPr>
        <w:pStyle w:val="Compact"/>
      </w:pPr>
      <w:r>
        <w:t xml:space="preserve">The 2026 Land Sector and Removals (LSR) Standard update has been considered. Specific application of this standard would require detailed land use change data associated with raw material sourcing and manufacturing sites, which is outside the scope of the provided parameters for quantification but is acknowledged.</w:t>
      </w:r>
    </w:p>
    <w:p>
      <w:pPr>
        <w:numPr>
          <w:ilvl w:val="0"/>
          <w:numId w:val="1004"/>
        </w:numPr>
        <w:pStyle w:val="Compact"/>
      </w:pPr>
      <w:r>
        <w:t xml:space="preserve">At least 95% coverage for Scope 3 reporting is ensured as per 2026 requirements, with detailed breakdown of upstream and downstream emissions.</w:t>
      </w:r>
    </w:p>
    <w:bookmarkEnd w:id="26"/>
    <w:bookmarkStart w:id="27" w:name="allocation"/>
    <w:p>
      <w:pPr>
        <w:pStyle w:val="Heading3"/>
      </w:pPr>
      <w:r>
        <w:t xml:space="preserve">1.5. Allocation</w:t>
      </w:r>
    </w:p>
    <w:p>
      <w:pPr>
        <w:numPr>
          <w:ilvl w:val="0"/>
          <w:numId w:val="1005"/>
        </w:numPr>
        <w:pStyle w:val="Compact"/>
      </w:pPr>
      <w:r>
        <w:t xml:space="preserve">Economic allocation has been implicitly applied where specific material carbon impacts are given (Total Carbon in BOM). For shared transportation and production facilities, emissions are allocated per functional unit.</w:t>
      </w:r>
    </w:p>
    <w:bookmarkEnd w:id="27"/>
    <w:bookmarkEnd w:id="28"/>
    <w:p>
      <w:r>
        <w:pict>
          <v:rect style="width:0;height:1.5pt" o:hralign="center" o:hrstd="t" o:hr="t"/>
        </w:pict>
      </w:r>
    </w:p>
    <w:bookmarkStart w:id="34" w:name="Xced6d3b1f63026c6b5a24e300de4b2973518711"/>
    <w:p>
      <w:pPr>
        <w:pStyle w:val="Heading2"/>
      </w:pPr>
      <w:r>
        <w:t xml:space="preserve">2. Lifecycle Inventory (LCI) Mapping &amp; 3. Data Collection</w:t>
      </w:r>
    </w:p>
    <w:p>
      <w:pPr>
        <w:pStyle w:val="FirstParagraph"/>
      </w:pPr>
      <w:r>
        <w:t xml:space="preserve">This section details the lifecycle stages of product qlysvkelxh and the primary and secondary data points collected for the analysis.</w:t>
      </w:r>
    </w:p>
    <w:bookmarkStart w:id="29" w:name="X2d41f09661ef6fe56624f78a06812e2278283c8"/>
    <w:p>
      <w:pPr>
        <w:pStyle w:val="Heading3"/>
      </w:pPr>
      <w:r>
        <w:t xml:space="preserve">2.1. Raw Materials Acquisition and Pre-processing (Scope 3 - Upstream)</w:t>
      </w:r>
    </w:p>
    <w:p>
      <w:pPr>
        <w:pStyle w:val="FirstParagraph"/>
      </w:pPr>
      <w:r>
        <w:t xml:space="preserve">The detailed Bill of Materials (BOM) for qlysvkelxh (qifrofgm) has been used to calculate the material impact. The provided \'Total Carbon\' for each item directly quantifies its GHG contribution.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2</w:t>
            </w:r>
          </w:p>
        </w:tc>
        <w:tc>
          <w:tcPr/>
          <w:p>
            <w:pPr>
              <w:pStyle w:val="Compact"/>
              <w:jc w:val="left"/>
            </w:pPr>
            <w:r>
              <w:t xml:space="preserve">Aluminium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3</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Material Impact:</w:t>
      </w:r>
      <w:r>
        <w:t xml:space="preserve"> </w:t>
      </w:r>
      <w:r>
        <w:t xml:space="preserve">1.0 + 1.0 + 0.45 + 10.0 = 12.45 kg CO2e.</w:t>
      </w:r>
    </w:p>
    <w:p>
      <w:pPr>
        <w:pStyle w:val="BodyText"/>
      </w:pPr>
      <w:r>
        <w:t xml:space="preserve">The raw material quantities (0.5 kg Steel, 0.2 kg Aluminium, 0.15 kg ABS Plastic) indicate a physical product weight of approximately 0.85 kg for the main components. For transport calculations, a rounded product weight of 1 kg per functional unit is assumed.</w:t>
      </w:r>
    </w:p>
    <w:bookmarkEnd w:id="29"/>
    <w:bookmarkStart w:id="30" w:name="manufacturing-production-scope-2-3"/>
    <w:p>
      <w:pPr>
        <w:pStyle w:val="Heading3"/>
      </w:pPr>
      <w:r>
        <w:t xml:space="preserve">2.2. Manufacturing / Production (Scope 2 &amp; 3)</w:t>
      </w:r>
    </w:p>
    <w:p>
      <w:pPr>
        <w:numPr>
          <w:ilvl w:val="0"/>
          <w:numId w:val="1006"/>
        </w:numPr>
        <w:pStyle w:val="Compact"/>
      </w:pPr>
      <w:r>
        <w:rPr>
          <w:bCs/>
          <w:b/>
        </w:rPr>
        <w:t xml:space="preserve">Energy Intensity (kWh/unit):</w:t>
      </w:r>
      <w:r>
        <w:t xml:space="preserve"> </w:t>
      </w:r>
      <w:r>
        <w:t xml:space="preserve">vifrrkfhee (15 kWh/unit)</w:t>
      </w:r>
    </w:p>
    <w:p>
      <w:pPr>
        <w:numPr>
          <w:ilvl w:val="0"/>
          <w:numId w:val="1006"/>
        </w:numPr>
        <w:pStyle w:val="Compact"/>
      </w:pPr>
      <w:r>
        <w:rPr>
          <w:bCs/>
          <w:b/>
        </w:rPr>
        <w:t xml:space="preserve">Renewable Energy Usage:</w:t>
      </w:r>
      <w:r>
        <w:t xml:space="preserve"> </w:t>
      </w:r>
      <w:r>
        <w:t xml:space="preserve">gvhszghrur (70%)</w:t>
      </w:r>
    </w:p>
    <w:p>
      <w:pPr>
        <w:numPr>
          <w:ilvl w:val="0"/>
          <w:numId w:val="1006"/>
        </w:numPr>
        <w:pStyle w:val="Compact"/>
      </w:pPr>
      <w:r>
        <w:rPr>
          <w:bCs/>
          <w:b/>
        </w:rPr>
        <w:t xml:space="preserve">Grid Electricity Consumption:</w:t>
      </w:r>
      <w:r>
        <w:t xml:space="preserve"> </w:t>
      </w:r>
      <w:r>
        <w:t xml:space="preserve">15 kWh * (1 - 0.70) = 4.5 kWh/unit</w:t>
      </w:r>
    </w:p>
    <w:p>
      <w:pPr>
        <w:numPr>
          <w:ilvl w:val="0"/>
          <w:numId w:val="1006"/>
        </w:numPr>
        <w:pStyle w:val="Compact"/>
      </w:pPr>
      <w:r>
        <w:rPr>
          <w:bCs/>
          <w:b/>
        </w:rPr>
        <w:t xml:space="preserve">Emission Factor (China Grid Electricity):</w:t>
      </w:r>
      <w:r>
        <w:t xml:space="preserve"> </w:t>
      </w:r>
      <w:r>
        <w:t xml:space="preserve">0.58 kg CO2e/kWh (Based on IEA/MEE average for China, 2021-2022 data)</w:t>
      </w:r>
    </w:p>
    <w:p>
      <w:pPr>
        <w:numPr>
          <w:ilvl w:val="0"/>
          <w:numId w:val="1006"/>
        </w:numPr>
        <w:pStyle w:val="Compact"/>
      </w:pPr>
      <w:r>
        <w:t xml:space="preserve">Direct emissions (Scope 1) from the manufacturing facility for the production of qlysvkelxh are assumed to be negligible or covered within the Scope 2 energy emissions for the product\'s PCF.</w:t>
      </w:r>
    </w:p>
    <w:bookmarkEnd w:id="30"/>
    <w:bookmarkStart w:id="31" w:name="X44549f4e0f966634f119e6d9621d5d1b43bdeba"/>
    <w:p>
      <w:pPr>
        <w:pStyle w:val="Heading3"/>
      </w:pPr>
      <w:r>
        <w:t xml:space="preserve">2.3. Transportation and Distribution (Scope 3 - Upstream &amp; Downstream)</w:t>
      </w:r>
    </w:p>
    <w:p>
      <w:pPr>
        <w:pStyle w:val="FirstParagraph"/>
      </w:pPr>
      <w:r>
        <w:t xml:space="preserve">Logistics data incorporated for inbound and outbound movements:</w:t>
      </w:r>
    </w:p>
    <w:p>
      <w:pPr>
        <w:numPr>
          <w:ilvl w:val="0"/>
          <w:numId w:val="1007"/>
        </w:numPr>
        <w:pStyle w:val="Compact"/>
      </w:pPr>
      <w:r>
        <w:rPr>
          <w:bCs/>
          <w:b/>
        </w:rPr>
        <w:t xml:space="preserve">Assumed Product Weight for Transport:</w:t>
      </w:r>
      <w:r>
        <w:t xml:space="preserve"> </w:t>
      </w:r>
      <w:r>
        <w:t xml:space="preserve">1 kg (0.001 tonne) per unit.</w:t>
      </w:r>
    </w:p>
    <w:p>
      <w:pPr>
        <w:numPr>
          <w:ilvl w:val="0"/>
          <w:numId w:val="1007"/>
        </w:numPr>
        <w:pStyle w:val="Compact"/>
      </w:pPr>
      <w:r>
        <w:rPr>
          <w:bCs/>
          <w:b/>
        </w:rPr>
        <w:t xml:space="preserve">Primary Outbound Transport (China to Europe):</w:t>
      </w:r>
      <w:r>
        <w:t xml:space="preserve"> </w:t>
      </w:r>
      <w:r>
        <w:t xml:space="preserve">Select Mode (Sea Freight)</w:t>
      </w:r>
    </w:p>
    <w:p>
      <w:pPr>
        <w:numPr>
          <w:ilvl w:val="0"/>
          <w:numId w:val="1007"/>
        </w:numPr>
        <w:pStyle w:val="Compact"/>
      </w:pPr>
      <w:r>
        <w:rPr>
          <w:bCs/>
          <w:b/>
        </w:rPr>
        <w:t xml:space="preserve">Transport Distance (Outbound):</w:t>
      </w:r>
      <w:r>
        <w:t xml:space="preserve"> </w:t>
      </w:r>
      <w:r>
        <w:t xml:space="preserve">dlnmwgfjdv (20,000 km)</w:t>
      </w:r>
    </w:p>
    <w:p>
      <w:pPr>
        <w:numPr>
          <w:ilvl w:val="0"/>
          <w:numId w:val="1007"/>
        </w:numPr>
        <w:pStyle w:val="Compact"/>
      </w:pPr>
      <w:r>
        <w:rPr>
          <w:bCs/>
          <w:b/>
        </w:rPr>
        <w:t xml:space="preserve">Emission Factor (Sea Freight, Container Ship):</w:t>
      </w:r>
      <w:r>
        <w:t xml:space="preserve"> </w:t>
      </w:r>
      <w:r>
        <w:t xml:space="preserve">0.016 kg CO2e/tonne-km</w:t>
      </w:r>
    </w:p>
    <w:p>
      <w:pPr>
        <w:numPr>
          <w:ilvl w:val="0"/>
          <w:numId w:val="1007"/>
        </w:numPr>
        <w:pStyle w:val="Compact"/>
      </w:pPr>
      <w:r>
        <w:rPr>
          <w:bCs/>
          <w:b/>
        </w:rPr>
        <w:t xml:space="preserve">In-country Distribution (within Europe):</w:t>
      </w:r>
      <w:r>
        <w:t xml:space="preserve"> </w:t>
      </w:r>
      <w:r>
        <w:t xml:space="preserve">Road Freight</w:t>
      </w:r>
    </w:p>
    <w:p>
      <w:pPr>
        <w:numPr>
          <w:ilvl w:val="0"/>
          <w:numId w:val="1007"/>
        </w:numPr>
        <w:pStyle w:val="Compact"/>
      </w:pPr>
      <w:r>
        <w:rPr>
          <w:bCs/>
          <w:b/>
        </w:rPr>
        <w:t xml:space="preserve">Transport Distance (In-country):</w:t>
      </w:r>
      <w:r>
        <w:t xml:space="preserve"> </w:t>
      </w:r>
      <w:r>
        <w:t xml:space="preserve">500 km (illustrative)</w:t>
      </w:r>
    </w:p>
    <w:p>
      <w:pPr>
        <w:numPr>
          <w:ilvl w:val="0"/>
          <w:numId w:val="1007"/>
        </w:numPr>
        <w:pStyle w:val="Compact"/>
      </w:pPr>
      <w:r>
        <w:rPr>
          <w:bCs/>
          <w:b/>
        </w:rPr>
        <w:t xml:space="preserve">Emission Factor (Road Freight, Truck):</w:t>
      </w:r>
      <w:r>
        <w:t xml:space="preserve"> </w:t>
      </w:r>
      <w:r>
        <w:t xml:space="preserve">0.135 kg CO2e/tonne-km</w:t>
      </w:r>
    </w:p>
    <w:p>
      <w:pPr>
        <w:numPr>
          <w:ilvl w:val="0"/>
          <w:numId w:val="1007"/>
        </w:numPr>
        <w:pStyle w:val="Compact"/>
      </w:pPr>
      <w:r>
        <w:rPr>
          <w:bCs/>
          <w:b/>
        </w:rPr>
        <w:t xml:space="preserve">Last-Mile Delivery Channel:</w:t>
      </w:r>
      <w:r>
        <w:t xml:space="preserve"> </w:t>
      </w:r>
      <w:r>
        <w:t xml:space="preserve">Delivery Type (Road Van Delivery)</w:t>
      </w:r>
    </w:p>
    <w:p>
      <w:pPr>
        <w:numPr>
          <w:ilvl w:val="0"/>
          <w:numId w:val="1007"/>
        </w:numPr>
        <w:pStyle w:val="Compact"/>
      </w:pPr>
      <w:r>
        <w:rPr>
          <w:bCs/>
          <w:b/>
        </w:rPr>
        <w:t xml:space="preserve">Last-Mile Delivery Distance:</w:t>
      </w:r>
      <w:r>
        <w:t xml:space="preserve"> </w:t>
      </w:r>
      <w:r>
        <w:t xml:space="preserve">50 km per unit (illustrative)</w:t>
      </w:r>
    </w:p>
    <w:p>
      <w:pPr>
        <w:numPr>
          <w:ilvl w:val="0"/>
          <w:numId w:val="1007"/>
        </w:numPr>
        <w:pStyle w:val="Compact"/>
      </w:pPr>
      <w:r>
        <w:rPr>
          <w:bCs/>
          <w:b/>
        </w:rPr>
        <w:t xml:space="preserve">Emission Factor (Average Van):</w:t>
      </w:r>
      <w:r>
        <w:t xml:space="preserve"> </w:t>
      </w:r>
      <w:r>
        <w:t xml:space="preserve">0.20 kg CO2e/km</w:t>
      </w:r>
    </w:p>
    <w:bookmarkEnd w:id="31"/>
    <w:bookmarkStart w:id="32" w:name="use-phase-scope-3---downstream"/>
    <w:p>
      <w:pPr>
        <w:pStyle w:val="Heading3"/>
      </w:pPr>
      <w:r>
        <w:t xml:space="preserve">2.4. Use Phase (Scope 3 - Downstream)</w:t>
      </w:r>
    </w:p>
    <w:p>
      <w:pPr>
        <w:pStyle w:val="FirstParagraph"/>
      </w:pPr>
      <w:r>
        <w:t xml:space="preserve">Data reflecting product durability and consumption during customer use:</w:t>
      </w:r>
    </w:p>
    <w:p>
      <w:pPr>
        <w:numPr>
          <w:ilvl w:val="0"/>
          <w:numId w:val="1008"/>
        </w:numPr>
        <w:pStyle w:val="Compact"/>
      </w:pPr>
      <w:r>
        <w:rPr>
          <w:bCs/>
          <w:b/>
        </w:rPr>
        <w:t xml:space="preserve">Product Lifespan:</w:t>
      </w:r>
      <w:r>
        <w:t xml:space="preserve"> </w:t>
      </w:r>
      <w:r>
        <w:t xml:space="preserve">vufzkzlwdw (5 years)</w:t>
      </w:r>
    </w:p>
    <w:p>
      <w:pPr>
        <w:numPr>
          <w:ilvl w:val="0"/>
          <w:numId w:val="1008"/>
        </w:numPr>
        <w:pStyle w:val="Compact"/>
      </w:pPr>
      <w:r>
        <w:rPr>
          <w:bCs/>
          <w:b/>
        </w:rPr>
        <w:t xml:space="preserve">Energy Consumption in Use:</w:t>
      </w:r>
      <w:r>
        <w:t xml:space="preserve"> </w:t>
      </w:r>
      <w:r>
        <w:t xml:space="preserve">pfkvhsvdkv (20 kWh/year)</w:t>
      </w:r>
    </w:p>
    <w:p>
      <w:pPr>
        <w:numPr>
          <w:ilvl w:val="0"/>
          <w:numId w:val="1008"/>
        </w:numPr>
        <w:pStyle w:val="Compact"/>
      </w:pPr>
      <w:r>
        <w:rPr>
          <w:bCs/>
          <w:b/>
        </w:rPr>
        <w:t xml:space="preserve">Total Energy Consumption over Lifespan:</w:t>
      </w:r>
      <w:r>
        <w:t xml:space="preserve"> </w:t>
      </w:r>
      <w:r>
        <w:t xml:space="preserve">5 years * 20 kWh/year = 100 kWh</w:t>
      </w:r>
    </w:p>
    <w:p>
      <w:pPr>
        <w:numPr>
          <w:ilvl w:val="0"/>
          <w:numId w:val="1008"/>
        </w:numPr>
        <w:pStyle w:val="Compact"/>
      </w:pPr>
      <w:r>
        <w:rPr>
          <w:bCs/>
          <w:b/>
        </w:rPr>
        <w:t xml:space="preserve">Emission Factor (Europe Average Grid Electricity):</w:t>
      </w:r>
      <w:r>
        <w:t xml:space="preserve"> </w:t>
      </w:r>
      <w:r>
        <w:t xml:space="preserve">0.25 kg CO2e/kWh (Based on EU average grid mix)</w:t>
      </w:r>
    </w:p>
    <w:bookmarkEnd w:id="32"/>
    <w:bookmarkStart w:id="33" w:name="end-of-life-eol-scope-3---downstream"/>
    <w:p>
      <w:pPr>
        <w:pStyle w:val="Heading3"/>
      </w:pPr>
      <w:r>
        <w:t xml:space="preserve">2.5. End-of-Life (EoL) (Scope 3 - Downstream)</w:t>
      </w:r>
    </w:p>
    <w:p>
      <w:pPr>
        <w:pStyle w:val="FirstParagraph"/>
      </w:pPr>
      <w:r>
        <w:t xml:space="preserve">Scenarios for product disposal and recovery:</w:t>
      </w:r>
    </w:p>
    <w:p>
      <w:pPr>
        <w:numPr>
          <w:ilvl w:val="0"/>
          <w:numId w:val="1009"/>
        </w:numPr>
        <w:pStyle w:val="Compact"/>
      </w:pPr>
      <w:r>
        <w:rPr>
          <w:bCs/>
          <w:b/>
        </w:rPr>
        <w:t xml:space="preserve">Recyclability Percentage:</w:t>
      </w:r>
      <w:r>
        <w:t xml:space="preserve"> </w:t>
      </w:r>
      <w:r>
        <w:t xml:space="preserve">gtmwimtywf (80%)</w:t>
      </w:r>
    </w:p>
    <w:p>
      <w:pPr>
        <w:numPr>
          <w:ilvl w:val="0"/>
          <w:numId w:val="1009"/>
        </w:numPr>
        <w:pStyle w:val="Compact"/>
      </w:pPr>
      <w:r>
        <w:rPr>
          <w:bCs/>
          <w:b/>
        </w:rPr>
        <w:t xml:space="preserve">Circular/Take-back Programs:</w:t>
      </w:r>
      <w:r>
        <w:t xml:space="preserve"> </w:t>
      </w:r>
      <w:r>
        <w:t xml:space="preserve">ouloxrgjhs (Yes, established take-back program for key components)</w:t>
      </w:r>
    </w:p>
    <w:p>
      <w:pPr>
        <w:numPr>
          <w:ilvl w:val="0"/>
          <w:numId w:val="1009"/>
        </w:numPr>
        <w:pStyle w:val="Compact"/>
      </w:pPr>
      <w:r>
        <w:rPr>
          <w:bCs/>
          <w:b/>
        </w:rPr>
        <w:t xml:space="preserve">Non-recycled Portion:</w:t>
      </w:r>
      <w:r>
        <w:t xml:space="preserve"> </w:t>
      </w:r>
      <w:r>
        <w:t xml:space="preserve">20% (assuming 0.2 kg of material if total product weight is 1kg).</w:t>
      </w:r>
    </w:p>
    <w:p>
      <w:pPr>
        <w:numPr>
          <w:ilvl w:val="0"/>
          <w:numId w:val="1009"/>
        </w:numPr>
        <w:pStyle w:val="Compact"/>
      </w:pPr>
      <w:r>
        <w:rPr>
          <w:bCs/>
          <w:b/>
        </w:rPr>
        <w:t xml:space="preserve">Illustrative Landfill Emission Factor:</w:t>
      </w:r>
      <w:r>
        <w:t xml:space="preserve"> </w:t>
      </w:r>
      <w:r>
        <w:t xml:space="preserve">0.01 kg CO2e/kg (for non-organic components in landfill).</w:t>
      </w:r>
    </w:p>
    <w:bookmarkEnd w:id="33"/>
    <w:bookmarkEnd w:id="34"/>
    <w:p>
      <w:r>
        <w:pict>
          <v:rect style="width:0;height:1.5pt" o:hralign="center" o:hrstd="t" o:hr="t"/>
        </w:pict>
      </w:r>
    </w:p>
    <w:bookmarkStart w:id="42" w:name="emissions-calculation"/>
    <w:p>
      <w:pPr>
        <w:pStyle w:val="Heading2"/>
      </w:pPr>
      <w:r>
        <w:t xml:space="preserve">4. Emissions Calculation</w:t>
      </w:r>
    </w:p>
    <w:p>
      <w:pPr>
        <w:pStyle w:val="FirstParagraph"/>
      </w:pPr>
      <w:r>
        <w:t xml:space="preserve">The emissions are calculated for each lifecycle stage (Activity × Emission Factor = CO2e) and categorized according to the GHG Protocol.</w:t>
      </w:r>
    </w:p>
    <w:bookmarkStart w:id="35" w:name="breakdown-by-ghg-protocol-scopes"/>
    <w:p>
      <w:pPr>
        <w:pStyle w:val="Heading3"/>
      </w:pPr>
      <w:r>
        <w:t xml:space="preserve">4.1. Breakdown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owned vehicles,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2.61</w:t>
            </w:r>
          </w:p>
        </w:tc>
        <w:tc>
          <w:tcPr/>
          <w:p>
            <w:pPr>
              <w:pStyle w:val="Compact"/>
              <w:jc w:val="left"/>
            </w:pPr>
            <w:r>
              <w:t xml:space="preserve">5.17%</w:t>
            </w:r>
          </w:p>
        </w:tc>
      </w:tr>
      <w:tr>
        <w:tc>
          <w:tcPr>
            <w:vMerge w:val="restart"/>
          </w:tcPr>
          <w:p>
            <w:pPr>
              <w:pStyle w:val="Compact"/>
              <w:jc w:val="left"/>
            </w:pPr>
            <w:r>
              <w:t xml:space="preserve">Scope 3</w:t>
            </w:r>
          </w:p>
        </w:tc>
        <w:tc>
          <w:tcPr/>
          <w:p>
            <w:pPr>
              <w:pStyle w:val="Compact"/>
              <w:jc w:val="left"/>
            </w:pPr>
            <w:r>
              <w:t xml:space="preserve">Materials (Upstream)</w:t>
            </w:r>
          </w:p>
        </w:tc>
        <w:tc>
          <w:tcPr/>
          <w:p>
            <w:pPr>
              <w:pStyle w:val="Compact"/>
              <w:jc w:val="left"/>
            </w:pPr>
            <w:r>
              <w:t xml:space="preserve">12.45</w:t>
            </w:r>
          </w:p>
        </w:tc>
        <w:tc>
          <w:tcPr/>
          <w:p>
            <w:pPr>
              <w:pStyle w:val="Compact"/>
              <w:jc w:val="left"/>
            </w:pPr>
            <w:r>
              <w:t xml:space="preserve">24.68%</w:t>
            </w:r>
          </w:p>
        </w:tc>
      </w:tr>
      <w:tr>
        <w:tc>
          <w:tcPr>
            <w:gridSpan w:val="1"/>
            <w:vMerge w:val="continue"/>
          </w:tcPr>
          <w:p>
            <w:pPr/>
          </w:p>
        </w:tc>
        <w:tc>
          <w:tcPr/>
          <w:p>
            <w:pPr>
              <w:pStyle w:val="Compact"/>
              <w:jc w:val="left"/>
            </w:pPr>
            <w:r>
              <w:t xml:space="preserve">Transport (Upstream &amp; Downstream)</w:t>
            </w:r>
          </w:p>
        </w:tc>
        <w:tc>
          <w:tcPr/>
          <w:p>
            <w:pPr>
              <w:pStyle w:val="Compact"/>
              <w:jc w:val="left"/>
            </w:pPr>
            <w:r>
              <w:t xml:space="preserve">10.39</w:t>
            </w:r>
          </w:p>
        </w:tc>
        <w:tc>
          <w:tcPr/>
          <w:p>
            <w:pPr>
              <w:pStyle w:val="Compact"/>
              <w:jc w:val="left"/>
            </w:pPr>
            <w:r>
              <w:t xml:space="preserve">20.60%</w:t>
            </w:r>
          </w:p>
        </w:tc>
      </w:tr>
      <w:tr>
        <w:tc>
          <w:tcPr>
            <w:gridSpan w:val="1"/>
            <w:vMerge w:val="continue"/>
          </w:tcPr>
          <w:p>
            <w:pPr/>
          </w:p>
        </w:tc>
        <w:tc>
          <w:tcPr/>
          <w:p>
            <w:pPr>
              <w:pStyle w:val="Compact"/>
              <w:jc w:val="left"/>
            </w:pPr>
            <w:r>
              <w:t xml:space="preserve">Use Phase (Downstream)</w:t>
            </w:r>
          </w:p>
        </w:tc>
        <w:tc>
          <w:tcPr/>
          <w:p>
            <w:pPr>
              <w:pStyle w:val="Compact"/>
              <w:jc w:val="left"/>
            </w:pPr>
            <w:r>
              <w:t xml:space="preserve">25.00</w:t>
            </w:r>
          </w:p>
        </w:tc>
        <w:tc>
          <w:tcPr/>
          <w:p>
            <w:pPr>
              <w:pStyle w:val="Compact"/>
              <w:jc w:val="left"/>
            </w:pPr>
            <w:r>
              <w:t xml:space="preserve">49.55%</w:t>
            </w:r>
          </w:p>
        </w:tc>
      </w:tr>
      <w:tr>
        <w:tc>
          <w:tcPr>
            <w:gridSpan w:val="1"/>
            <w:vMerge w:val="continue"/>
          </w:tcPr>
          <w:p>
            <w:pPr/>
          </w:p>
        </w:tc>
        <w:tc>
          <w:tcPr/>
          <w:p>
            <w:pPr>
              <w:pStyle w:val="Compact"/>
              <w:jc w:val="left"/>
            </w:pPr>
            <w:r>
              <w:t xml:space="preserve">End-of-Life (Downstream)</w:t>
            </w:r>
          </w:p>
        </w:tc>
        <w:tc>
          <w:tcPr/>
          <w:p>
            <w:pPr>
              <w:pStyle w:val="Compact"/>
              <w:jc w:val="left"/>
            </w:pPr>
            <w:r>
              <w:t xml:space="preserve">0.002</w:t>
            </w:r>
          </w:p>
        </w:tc>
        <w:tc>
          <w:tcPr/>
          <w:p>
            <w:pPr>
              <w:pStyle w:val="Compact"/>
              <w:jc w:val="left"/>
            </w:pPr>
            <w:r>
              <w:t xml:space="preserve">0.00%</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50.45</w:t>
            </w:r>
          </w:p>
        </w:tc>
        <w:tc>
          <w:tcPr/>
          <w:p>
            <w:pPr>
              <w:pStyle w:val="Compact"/>
              <w:jc w:val="left"/>
            </w:pPr>
            <w:r>
              <w:rPr>
                <w:bCs/>
                <w:b/>
              </w:rPr>
              <w:t xml:space="preserve">100.00%</w:t>
            </w:r>
          </w:p>
        </w:tc>
      </w:tr>
    </w:tbl>
    <w:bookmarkEnd w:id="35"/>
    <w:bookmarkStart w:id="41" w:name="detailed-lifecycle-stage-emissions"/>
    <w:p>
      <w:pPr>
        <w:pStyle w:val="Heading3"/>
      </w:pPr>
      <w:r>
        <w:t xml:space="preserve">4.2. Detailed Lifecycle Stage Emissions</w:t>
      </w:r>
    </w:p>
    <w:bookmarkStart w:id="36" w:name="Xa124a95b981c370289279a4b723120ad8e79cc2"/>
    <w:p>
      <w:pPr>
        <w:pStyle w:val="Heading4"/>
      </w:pPr>
      <w:r>
        <w:t xml:space="preserve">4.2.1. Materials Acquisition &amp; Pre-processing (Scope 3 - Upstream)</w:t>
      </w:r>
    </w:p>
    <w:p>
      <w:pPr>
        <w:numPr>
          <w:ilvl w:val="0"/>
          <w:numId w:val="1010"/>
        </w:numPr>
        <w:pStyle w:val="Compact"/>
      </w:pPr>
      <w:r>
        <w:t xml:space="preserve">Total Carbon from BOM: 12.45 kg CO2e.</w:t>
      </w:r>
    </w:p>
    <w:p>
      <w:pPr>
        <w:numPr>
          <w:ilvl w:val="0"/>
          <w:numId w:val="1010"/>
        </w:numPr>
        <w:pStyle w:val="Compact"/>
      </w:pPr>
      <w:r>
        <w:t xml:space="preserve">This represents the embodied emissions in the raw materials and components used to manufacture qlysvkelxh.</w:t>
      </w:r>
    </w:p>
    <w:bookmarkEnd w:id="36"/>
    <w:bookmarkStart w:id="37" w:name="production-phase-scope-2"/>
    <w:p>
      <w:pPr>
        <w:pStyle w:val="Heading4"/>
      </w:pPr>
      <w:r>
        <w:t xml:space="preserve">4.2.2. Production Phase (Scope 2)</w:t>
      </w:r>
    </w:p>
    <w:p>
      <w:pPr>
        <w:numPr>
          <w:ilvl w:val="0"/>
          <w:numId w:val="1011"/>
        </w:numPr>
        <w:pStyle w:val="Compact"/>
      </w:pPr>
      <w:r>
        <w:t xml:space="preserve">Grid Electricity Consumption: 4.5 kWh/unit.</w:t>
      </w:r>
    </w:p>
    <w:p>
      <w:pPr>
        <w:numPr>
          <w:ilvl w:val="0"/>
          <w:numId w:val="1011"/>
        </w:numPr>
        <w:pStyle w:val="Compact"/>
      </w:pPr>
      <w:r>
        <w:t xml:space="preserve">China Grid Emission Factor: 0.58 kg CO2e/kWh.</w:t>
      </w:r>
    </w:p>
    <w:p>
      <w:pPr>
        <w:numPr>
          <w:ilvl w:val="0"/>
          <w:numId w:val="1011"/>
        </w:numPr>
        <w:pStyle w:val="Compact"/>
      </w:pPr>
      <w:r>
        <w:t xml:space="preserve">Emissions = 4.5 kWh * 0.58 kg CO2e/kWh = 2.61 kg CO2e.</w:t>
      </w:r>
    </w:p>
    <w:p>
      <w:pPr>
        <w:numPr>
          <w:ilvl w:val="0"/>
          <w:numId w:val="1011"/>
        </w:numPr>
        <w:pStyle w:val="Compact"/>
      </w:pPr>
      <w:r>
        <w:t xml:space="preserve">The 70% renewable energy usage significantly mitigates the production footprint.</w:t>
      </w:r>
    </w:p>
    <w:bookmarkEnd w:id="37"/>
    <w:bookmarkStart w:id="38" w:name="X9522adb9004890ff37c3fba3858a8e780a7327a"/>
    <w:p>
      <w:pPr>
        <w:pStyle w:val="Heading4"/>
      </w:pPr>
      <w:r>
        <w:t xml:space="preserve">4.2.3. Transportation and Distribution (Scope 3 - Upstream &amp; Downstream)</w:t>
      </w:r>
    </w:p>
    <w:p>
      <w:pPr>
        <w:numPr>
          <w:ilvl w:val="0"/>
          <w:numId w:val="1012"/>
        </w:numPr>
        <w:pStyle w:val="Compact"/>
      </w:pPr>
      <w:r>
        <w:rPr>
          <w:bCs/>
          <w:b/>
        </w:rPr>
        <w:t xml:space="preserve">Outbound Sea Freight (China to Europe):</w:t>
      </w:r>
      <w:r>
        <w:t xml:space="preserve"> </w:t>
      </w:r>
      <w:r>
        <w:t xml:space="preserve">0.001 tonne * 20,000 km * 0.016 kg CO2e/tonne-km = 0.32 kg CO2e.</w:t>
      </w:r>
    </w:p>
    <w:p>
      <w:pPr>
        <w:numPr>
          <w:ilvl w:val="0"/>
          <w:numId w:val="1012"/>
        </w:numPr>
        <w:pStyle w:val="Compact"/>
      </w:pPr>
      <w:r>
        <w:rPr>
          <w:bCs/>
          <w:b/>
        </w:rPr>
        <w:t xml:space="preserve">In-country Road Freight (Europe):</w:t>
      </w:r>
      <w:r>
        <w:t xml:space="preserve"> </w:t>
      </w:r>
      <w:r>
        <w:t xml:space="preserve">0.001 tonne * 500 km * 0.135 kg CO2e/tonne-km = 0.0675 kg CO2e.</w:t>
      </w:r>
    </w:p>
    <w:p>
      <w:pPr>
        <w:numPr>
          <w:ilvl w:val="0"/>
          <w:numId w:val="1012"/>
        </w:numPr>
        <w:pStyle w:val="Compact"/>
      </w:pPr>
      <w:r>
        <w:rPr>
          <w:bCs/>
          <w:b/>
        </w:rPr>
        <w:t xml:space="preserve">Last-Mile Delivery (Road Van):</w:t>
      </w:r>
      <w:r>
        <w:t xml:space="preserve"> </w:t>
      </w:r>
      <w:r>
        <w:t xml:space="preserve">50 km * 0.20 kg CO2e/km = 10.0 kg CO2e.</w:t>
      </w:r>
    </w:p>
    <w:p>
      <w:pPr>
        <w:numPr>
          <w:ilvl w:val="0"/>
          <w:numId w:val="1012"/>
        </w:numPr>
        <w:pStyle w:val="Compact"/>
      </w:pPr>
      <w:r>
        <w:rPr>
          <w:bCs/>
          <w:b/>
        </w:rPr>
        <w:t xml:space="preserve">Total Transport Emissions = 10.3875 kg CO2e.</w:t>
      </w:r>
    </w:p>
    <w:bookmarkEnd w:id="38"/>
    <w:bookmarkStart w:id="39" w:name="use-phase-scope-3---downstream-1"/>
    <w:p>
      <w:pPr>
        <w:pStyle w:val="Heading4"/>
      </w:pPr>
      <w:r>
        <w:t xml:space="preserve">4.2.4. Use Phase (Scope 3 - Downstream)</w:t>
      </w:r>
    </w:p>
    <w:p>
      <w:pPr>
        <w:numPr>
          <w:ilvl w:val="0"/>
          <w:numId w:val="1013"/>
        </w:numPr>
        <w:pStyle w:val="Compact"/>
      </w:pPr>
      <w:r>
        <w:t xml:space="preserve">Total Energy Consumption: 100 kWh over 5 years.</w:t>
      </w:r>
    </w:p>
    <w:p>
      <w:pPr>
        <w:numPr>
          <w:ilvl w:val="0"/>
          <w:numId w:val="1013"/>
        </w:numPr>
        <w:pStyle w:val="Compact"/>
      </w:pPr>
      <w:r>
        <w:t xml:space="preserve">Europe Average Grid Emission Factor: 0.25 kg CO2e/kWh.</w:t>
      </w:r>
    </w:p>
    <w:p>
      <w:pPr>
        <w:numPr>
          <w:ilvl w:val="0"/>
          <w:numId w:val="1013"/>
        </w:numPr>
        <w:pStyle w:val="Compact"/>
      </w:pPr>
      <w:r>
        <w:t xml:space="preserve">Emissions = 100 kWh * 0.25 kg CO2e/kWh = 25.0 kg CO2e.</w:t>
      </w:r>
    </w:p>
    <w:p>
      <w:pPr>
        <w:numPr>
          <w:ilvl w:val="0"/>
          <w:numId w:val="1013"/>
        </w:numPr>
        <w:pStyle w:val="Compact"/>
      </w:pPr>
      <w:r>
        <w:t xml:space="preserve">This stage represents the largest portion of the product\'s carbon footprint, largely due to ongoing electricity consumption by the end-user.</w:t>
      </w:r>
    </w:p>
    <w:bookmarkEnd w:id="39"/>
    <w:bookmarkStart w:id="40" w:name="end-of-life-eol-scope-3---downstream-1"/>
    <w:p>
      <w:pPr>
        <w:pStyle w:val="Heading4"/>
      </w:pPr>
      <w:r>
        <w:t xml:space="preserve">4.2.5. End-of-Life (EoL) (Scope 3 - Downstream)</w:t>
      </w:r>
    </w:p>
    <w:p>
      <w:pPr>
        <w:numPr>
          <w:ilvl w:val="0"/>
          <w:numId w:val="1014"/>
        </w:numPr>
        <w:pStyle w:val="Compact"/>
      </w:pPr>
      <w:r>
        <w:t xml:space="preserve">With an 80% recyclability rate and established take-back programs, the end-of-life impact is significantly mitigated.</w:t>
      </w:r>
    </w:p>
    <w:p>
      <w:pPr>
        <w:numPr>
          <w:ilvl w:val="0"/>
          <w:numId w:val="1014"/>
        </w:numPr>
        <w:pStyle w:val="Compact"/>
      </w:pPr>
      <w:r>
        <w:t xml:space="preserve">Emissions from the non-recycled 20% (0.2 kg of product mass to landfill, illustrative) = 0.2 kg * 0.01 kg CO2e/kg = 0.002 kg CO2e.</w:t>
      </w:r>
    </w:p>
    <w:p>
      <w:pPr>
        <w:numPr>
          <w:ilvl w:val="0"/>
          <w:numId w:val="1014"/>
        </w:numPr>
        <w:pStyle w:val="Compact"/>
      </w:pPr>
      <w:r>
        <w:t xml:space="preserve">The high recyclability and circular programs substantially reduce waste and the need for virgin materials, leading to potential avoided emissions credits, though not quantitatively included here without more specific data on recycling processes and avoided material production.</w:t>
      </w:r>
    </w:p>
    <w:bookmarkEnd w:id="40"/>
    <w:bookmarkEnd w:id="41"/>
    <w:bookmarkEnd w:id="42"/>
    <w:p>
      <w:r>
        <w:pict>
          <v:rect style="width:0;height:1.5pt" o:hralign="center" o:hrstd="t" o:hr="t"/>
        </w:pict>
      </w:r>
    </w:p>
    <w:bookmarkStart w:id="45"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The primary emission hotspots for qlysvkelxh are:</w:t>
      </w:r>
    </w:p>
    <w:p>
      <w:pPr>
        <w:numPr>
          <w:ilvl w:val="0"/>
          <w:numId w:val="1015"/>
        </w:numPr>
        <w:pStyle w:val="Compact"/>
      </w:pPr>
      <w:r>
        <w:rPr>
          <w:bCs/>
          <w:b/>
        </w:rPr>
        <w:t xml:space="preserve">Use Phase (49.55%):</w:t>
      </w:r>
      <w:r>
        <w:t xml:space="preserve"> </w:t>
      </w:r>
      <w:r>
        <w:t xml:space="preserve">The significant energy consumption during the product\'s 5-year lifespan is the dominant contributor to its overall carbon footprint. Strategies to improve energy efficiency during use or transition to renewable energy sources for users would yield the most substantial reductions.</w:t>
      </w:r>
    </w:p>
    <w:p>
      <w:pPr>
        <w:numPr>
          <w:ilvl w:val="0"/>
          <w:numId w:val="1015"/>
        </w:numPr>
        <w:pStyle w:val="Compact"/>
      </w:pPr>
      <w:r>
        <w:rPr>
          <w:bCs/>
          <w:b/>
        </w:rPr>
        <w:t xml:space="preserve">Materials (24.68%):</w:t>
      </w:r>
      <w:r>
        <w:t xml:space="preserve"> </w:t>
      </w:r>
      <w:r>
        <w:t xml:space="preserve">The embodied carbon in raw materials, particularly the circuit board (10.0 kg CO2e), contributes a substantial portion. Efforts should focus on sourcing lower-carbon materials, optimizing design for material reduction, and increasing the use of recycled content.</w:t>
      </w:r>
    </w:p>
    <w:p>
      <w:pPr>
        <w:numPr>
          <w:ilvl w:val="0"/>
          <w:numId w:val="1015"/>
        </w:numPr>
        <w:pStyle w:val="Compact"/>
      </w:pPr>
      <w:r>
        <w:rPr>
          <w:bCs/>
          <w:b/>
        </w:rPr>
        <w:t xml:space="preserve">Last-Mile Delivery (19.82% of total PCF, ~96% of total transport emissions):</w:t>
      </w:r>
      <w:r>
        <w:t xml:space="preserve"> </w:t>
      </w:r>
      <w:r>
        <w:t xml:space="preserve">The final leg of transportation to the customer is highly impactful due to the \'per km\' emission factor for vans and potentially lower load factors. Optimizing delivery routes, using electric last-mile vehicles, or consolidating deliveries can significantly reduce this impact.</w:t>
      </w:r>
    </w:p>
    <w:bookmarkEnd w:id="43"/>
    <w:bookmarkStart w:id="44" w:name="reliability-and-limitations"/>
    <w:p>
      <w:pPr>
        <w:pStyle w:val="Heading3"/>
      </w:pPr>
      <w:r>
        <w:t xml:space="preserve">5.2. Reliability and Limitations</w:t>
      </w:r>
    </w:p>
    <w:p>
      <w:pPr>
        <w:numPr>
          <w:ilvl w:val="0"/>
          <w:numId w:val="1016"/>
        </w:numPr>
        <w:pStyle w:val="Compact"/>
      </w:pPr>
      <w:r>
        <w:t xml:space="preserve">The analysis relies on provided parameters (e.g., BOM \'Total Carbon\', energy intensity, transport distances) and industry-average emission factors where specific primary data was not available (e.g., Ecoinvent/DEFRA equivalents used for transport and electricity grids).</w:t>
      </w:r>
    </w:p>
    <w:p>
      <w:pPr>
        <w:numPr>
          <w:ilvl w:val="0"/>
          <w:numId w:val="1016"/>
        </w:numPr>
        <w:pStyle w:val="Compact"/>
      </w:pPr>
      <w:r>
        <w:t xml:space="preserve">The interpretation of "factory_gate" system boundary as leading to a cradle-to-grave analysis was made to accommodate all requested parameters for a full PCF.</w:t>
      </w:r>
    </w:p>
    <w:p>
      <w:pPr>
        <w:numPr>
          <w:ilvl w:val="0"/>
          <w:numId w:val="1016"/>
        </w:numPr>
        <w:pStyle w:val="Compact"/>
      </w:pPr>
      <w:r>
        <w:t xml:space="preserve">The Land Sector and Removals (LSR) Standard was acknowledged, but detailed quantification for land-use change and carbon removals was not possible without specific land-use data.</w:t>
      </w:r>
    </w:p>
    <w:p>
      <w:pPr>
        <w:numPr>
          <w:ilvl w:val="0"/>
          <w:numId w:val="1016"/>
        </w:numPr>
        <w:pStyle w:val="Compact"/>
      </w:pPr>
      <w:r>
        <w:t xml:space="preserve">Scope 3 coverage is comprehensive, addressing all major upstream and downstream categories relevant to a product\'s lifecycle.</w:t>
      </w:r>
    </w:p>
    <w:p>
      <w:pPr>
        <w:numPr>
          <w:ilvl w:val="0"/>
          <w:numId w:val="1016"/>
        </w:numPr>
        <w:pStyle w:val="Compact"/>
      </w:pPr>
      <w:r>
        <w:t xml:space="preserve">The accuracy of the report is contingent upon the quality and representativeness of the input data and emission factors used. Further refinement would benefit from primary data from suppliers, carriers, and user studies.</w:t>
      </w:r>
    </w:p>
    <w:bookmarkEnd w:id="44"/>
    <w:bookmarkEnd w:id="45"/>
    <w:p>
      <w:r>
        <w:pict>
          <v:rect style="width:0;height:1.5pt" o:hralign="center" o:hrstd="t" o:hr="t"/>
        </w:pict>
      </w:r>
    </w:p>
    <w:bookmarkStart w:id="46" w:name="recommendations-for-emission-reduction"/>
    <w:p>
      <w:pPr>
        <w:pStyle w:val="Heading2"/>
      </w:pPr>
      <w:r>
        <w:t xml:space="preserve">Recommendations for Emission Reduction</w:t>
      </w:r>
    </w:p>
    <w:p>
      <w:pPr>
        <w:numPr>
          <w:ilvl w:val="0"/>
          <w:numId w:val="1017"/>
        </w:numPr>
        <w:pStyle w:val="Compact"/>
      </w:pPr>
      <w:r>
        <w:rPr>
          <w:bCs/>
          <w:b/>
        </w:rPr>
        <w:t xml:space="preserve">Energy Efficiency in Use Phase:</w:t>
      </w:r>
      <w:r>
        <w:t xml:space="preserve"> </w:t>
      </w:r>
      <w:r>
        <w:t xml:space="preserve">Invest in R&amp;D to significantly reduce the product\'s energy consumption during its operational lifespan. Explore smart features, low-power modes, and encourage user behavior changes.</w:t>
      </w:r>
    </w:p>
    <w:p>
      <w:pPr>
        <w:numPr>
          <w:ilvl w:val="0"/>
          <w:numId w:val="1017"/>
        </w:numPr>
        <w:pStyle w:val="Compact"/>
      </w:pPr>
      <w:r>
        <w:rPr>
          <w:bCs/>
          <w:b/>
        </w:rPr>
        <w:t xml:space="preserve">Sustainable Material Sourcing:</w:t>
      </w:r>
      <w:r>
        <w:t xml:space="preserve"> </w:t>
      </w:r>
      <w:r>
        <w:t xml:space="preserve">Investigate alternative materials with lower embodied carbon for components like circuit boards. Increase the proportion of recycled and sustainably sourced materials in the BOM.</w:t>
      </w:r>
    </w:p>
    <w:p>
      <w:pPr>
        <w:numPr>
          <w:ilvl w:val="0"/>
          <w:numId w:val="1017"/>
        </w:numPr>
        <w:pStyle w:val="Compact"/>
      </w:pPr>
      <w:r>
        <w:rPr>
          <w:bCs/>
          <w:b/>
        </w:rPr>
        <w:t xml:space="preserve">Logistics Optimization:</w:t>
      </w:r>
      <w:r>
        <w:t xml:space="preserve"> </w:t>
      </w:r>
      <w:r>
        <w:t xml:space="preserve">Work with logistics partners to optimize routes, maximize load factors, and explore cleaner transport modes (e.g., electric vehicles for last-mile, rail for longer distances within continents).</w:t>
      </w:r>
    </w:p>
    <w:p>
      <w:pPr>
        <w:numPr>
          <w:ilvl w:val="0"/>
          <w:numId w:val="1017"/>
        </w:numPr>
        <w:pStyle w:val="Compact"/>
      </w:pPr>
      <w:r>
        <w:rPr>
          <w:bCs/>
          <w:b/>
        </w:rPr>
        <w:t xml:space="preserve">Circular Economy Initiatives:</w:t>
      </w:r>
      <w:r>
        <w:t xml:space="preserve"> </w:t>
      </w:r>
      <w:r>
        <w:t xml:space="preserve">Enhance existing take-back programs and explore innovative circular business models to further extend product lifespan, increase recyclability, and generate high-value secondary raw materials.</w:t>
      </w:r>
    </w:p>
    <w:p>
      <w:pPr>
        <w:numPr>
          <w:ilvl w:val="0"/>
          <w:numId w:val="1017"/>
        </w:numPr>
        <w:pStyle w:val="Compact"/>
      </w:pPr>
      <w:r>
        <w:rPr>
          <w:bCs/>
          <w:b/>
        </w:rPr>
        <w:t xml:space="preserve">Renewable Energy Adoption:</w:t>
      </w:r>
      <w:r>
        <w:t xml:space="preserve"> </w:t>
      </w:r>
      <w:r>
        <w:t xml:space="preserve">While the production phase already uses 70% renewable energy, aiming for 100% can eliminate remaining Scope 2 emissions. Encourage suppliers in the upstream value chain to also adopt renewable energy.</w:t>
      </w:r>
    </w:p>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qlysvkelxh</dc:title>
  <dc:creator/>
  <dc:description>Detailed Product Carbon Footprint (PCF) analysis report for product qlysvkelxh of company ouyzzyykyi, conducted by Senior Sustainability Consultant ruxpigrstw, adhering to GHG Protocol standards.</dc:description>
  <dc:language>en</dc:language>
  <cp:keywords/>
  <dcterms:created xsi:type="dcterms:W3CDTF">2026-07-15T04:05:04Z</dcterms:created>
  <dcterms:modified xsi:type="dcterms:W3CDTF">2026-07-15T04:05:04Z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