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qlgjpmlgwt</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product-qlgjpmlgwt"/>
    <w:p>
      <w:pPr>
        <w:pStyle w:val="Heading2"/>
      </w:pPr>
      <w:r>
        <w:t xml:space="preserve">For Product: qlgjpmlgwt</w:t>
      </w:r>
    </w:p>
    <w:p>
      <w:pPr>
        <w:pStyle w:val="FirstParagraph"/>
      </w:pPr>
      <w:r>
        <w:rPr>
          <w:bCs/>
          <w:b/>
        </w:rPr>
        <w:t xml:space="preserve">Company Name:</w:t>
      </w:r>
      <w:r>
        <w:t xml:space="preserve"> </w:t>
      </w:r>
      <w:r>
        <w:t xml:space="preserve">zveedsxify</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xdvfkysvvk</w:t>
      </w:r>
    </w:p>
    <w:p>
      <w:pPr>
        <w:pStyle w:val="BodyText"/>
      </w:pPr>
      <w:r>
        <w:t xml:space="preserve">Disclaimer: This report is generated based on available data and industry standards. While efforts have been made to ensure accuracy, certain data points are simulated or based on generalized emission factors due to the hypothetical nature of the product and company details.</w:t>
      </w:r>
    </w:p>
    <w:bookmarkEnd w:id="20"/>
    <w:bookmarkEnd w:id="21"/>
    <w:bookmarkStart w:id="22" w:name="Xa0b57d939d8bd70597185b419e62059c509a19f"/>
    <w:p>
      <w:pPr>
        <w:pStyle w:val="Heading1"/>
      </w:pPr>
      <w:r>
        <w:t xml:space="preserve">Product Carbon Footprint Analysis Report: qlgjpmlgwt</w:t>
      </w:r>
    </w:p>
    <w:p>
      <w:pPr>
        <w:pStyle w:val="FirstParagraph"/>
      </w:pPr>
      <w:r>
        <w:t xml:space="preserve">Generated Date: May 18, 2026</w:t>
      </w:r>
    </w:p>
    <w:p>
      <w:r>
        <w:pict>
          <v:rect style="width:0;height:1.5pt" o:hralign="center" o:hrstd="t" o:hr="t"/>
        </w:pict>
      </w:r>
    </w:p>
    <w:bookmarkEnd w:id="22"/>
    <w:bookmarkStart w:id="23" w:name="executive-summary"/>
    <w:p>
      <w:pPr>
        <w:pStyle w:val="Heading2"/>
      </w:pPr>
      <w:r>
        <w:t xml:space="preserve">1. Executive Summary</w:t>
      </w:r>
    </w:p>
    <w:p>
      <w:pPr>
        <w:pStyle w:val="FirstParagraph"/>
      </w:pPr>
      <w:r>
        <w:t xml:space="preserve">This report provides a high-detail Product Carbon Footprint (PCF) analysis for the product</w:t>
      </w:r>
      <w:r>
        <w:t xml:space="preserve"> </w:t>
      </w:r>
      <w:r>
        <w:rPr>
          <w:bCs/>
          <w:b/>
        </w:rPr>
        <w:t xml:space="preserve">qlgjpmlgwt</w:t>
      </w:r>
      <w:r>
        <w:t xml:space="preserve">, manufactured by</w:t>
      </w:r>
      <w:r>
        <w:t xml:space="preserve"> </w:t>
      </w:r>
      <w:r>
        <w:rPr>
          <w:bCs/>
          <w:b/>
        </w:rPr>
        <w:t xml:space="preserve">zveedsxify</w:t>
      </w:r>
      <w:r>
        <w:t xml:space="preserve">. The analysis adheres to the GHG Protocol standards, including considerations for the 2026 Land Sector and Removals (LSR) update and the intensified 95% Scope 3 coverage requirement. The functional unit for this study is 1.0 unit of qlgjpmlgwt, with a system boundary defined as \'factory_gate\' for direct emissions and extending to cover the full lifecycle (cradle-to-grave) for upstream and downstream Scope 3 emissions. The geographic scope focuses on production in China with a supply chain emphasis on Europe.</w:t>
      </w:r>
    </w:p>
    <w:p>
      <w:pPr>
        <w:pStyle w:val="BodyText"/>
      </w:pPr>
      <w:r>
        <w:t xml:space="preserve">The total carbon footprint of one unit of qlgjpmlgwt is estimated to be</w:t>
      </w:r>
      <w:r>
        <w:t xml:space="preserve"> </w:t>
      </w:r>
      <w:r>
        <w:rPr>
          <w:bCs/>
          <w:b/>
        </w:rPr>
        <w:t xml:space="preserve">35.26 kg CO2e</w:t>
      </w:r>
      <w:r>
        <w:t xml:space="preserve">. The primary hotspots identified are the raw material acquisition and processing phase (Scope 3 - Purchased Goods and Services) and the use phase (Scope 3 - Use of Sold Products). The analysis incorporates detailed Bill of Materials (BOM), specific logistics, energy usage, product lifespan, and end-of-life scenarios to provide a comprehensive view of the product\'s environmental impact.</w:t>
      </w:r>
    </w:p>
    <w:p>
      <w:r>
        <w:pict>
          <v:rect style="width:0;height:1.5pt" o:hralign="center" o:hrstd="t" o:hr="t"/>
        </w:pict>
      </w:r>
    </w:p>
    <w:bookmarkEnd w:id="23"/>
    <w:bookmarkStart w:id="26" w:name="methodology-and-scope-definition"/>
    <w:p>
      <w:pPr>
        <w:pStyle w:val="Heading2"/>
      </w:pPr>
      <w:r>
        <w:t xml:space="preserve">2. Methodology and Scope Definition</w:t>
      </w:r>
    </w:p>
    <w:p>
      <w:pPr>
        <w:pStyle w:val="FirstParagraph"/>
      </w:pPr>
      <w:r>
        <w:t xml:space="preserve">As</w:t>
      </w:r>
      <w:r>
        <w:t xml:space="preserve"> </w:t>
      </w:r>
      <w:r>
        <w:rPr>
          <w:bCs/>
          <w:b/>
        </w:rPr>
        <w:t xml:space="preserve">xdvfkysvvk</w:t>
      </w:r>
      <w:r>
        <w:t xml:space="preserve">, Senior Sustainability Consultant, the following methodology aligns with industry best practices for PCF analysis and the GHG Protocol.</w:t>
      </w:r>
    </w:p>
    <w:bookmarkStart w:id="24"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qlgjpmlgwt.</w:t>
      </w:r>
    </w:p>
    <w:p>
      <w:pPr>
        <w:numPr>
          <w:ilvl w:val="0"/>
          <w:numId w:val="1001"/>
        </w:numPr>
        <w:pStyle w:val="Compact"/>
      </w:pPr>
      <w:r>
        <w:rPr>
          <w:bCs/>
          <w:b/>
        </w:rPr>
        <w:t xml:space="preserve">System Boundary:</w:t>
      </w:r>
      <w:r>
        <w:t xml:space="preserve"> </w:t>
      </w:r>
      <w:r>
        <w:t xml:space="preserve">This analysis employs a "Cradle-to-Grave" approach, encompassing raw material extraction, manufacturing (factory gate), distribution, use, and end-of-life stages. For direct corporate reporting, the "factory_gate" boundary explicitly details emissions until the product leaves the manufacturing facility.</w:t>
      </w:r>
    </w:p>
    <w:p>
      <w:pPr>
        <w:numPr>
          <w:ilvl w:val="0"/>
          <w:numId w:val="1001"/>
        </w:numPr>
        <w:pStyle w:val="Compact"/>
      </w:pPr>
      <w:r>
        <w:rPr>
          <w:bCs/>
          <w:b/>
        </w:rPr>
        <w:t xml:space="preserve">Geographic Scope:</w:t>
      </w:r>
      <w:r>
        <w:t xml:space="preserve"> </w:t>
      </w:r>
      <w:r>
        <w:t xml:space="preserve">Final production occurs in China, with a supply chain focus on Europe. This impacts the selection of regional electricity and transport emission factors.</w:t>
      </w:r>
    </w:p>
    <w:p>
      <w:pPr>
        <w:numPr>
          <w:ilvl w:val="0"/>
          <w:numId w:val="1001"/>
        </w:numPr>
        <w:pStyle w:val="Compact"/>
      </w:pPr>
      <w:r>
        <w:rPr>
          <w:bCs/>
          <w:b/>
        </w:rPr>
        <w:t xml:space="preserve">Allocation:</w:t>
      </w:r>
      <w:r>
        <w:t xml:space="preserve"> </w:t>
      </w:r>
      <w:r>
        <w:t xml:space="preserve">Emissions from shared processes (e.g., utility infrastructure) are allocated to the functional unit based on mass and energy consumption proportional to the product\'s contribution to overall factory output.</w:t>
      </w:r>
    </w:p>
    <w:p>
      <w:pPr>
        <w:numPr>
          <w:ilvl w:val="0"/>
          <w:numId w:val="1001"/>
        </w:numPr>
        <w:pStyle w:val="Compact"/>
      </w:pPr>
      <w:r>
        <w:rPr>
          <w:bCs/>
          <w:b/>
        </w:rPr>
        <w:t xml:space="preserve">Accounting Standard:</w:t>
      </w:r>
      <w:r>
        <w:t xml:space="preserve"> </w:t>
      </w:r>
      <w:r>
        <w:t xml:space="preserve">GHG Protocol. All emissions are categorized into Scope 1 (direct), Scope 2 (purchased energy), and Scope 3 (value chain) as per GHG Protocol standards.</w:t>
      </w:r>
    </w:p>
    <w:bookmarkEnd w:id="24"/>
    <w:bookmarkStart w:id="25" w:name="map-lifecycle-lci-inventory-stages"/>
    <w:p>
      <w:pPr>
        <w:pStyle w:val="Heading3"/>
      </w:pPr>
      <w:r>
        <w:t xml:space="preserve">2.2. Map Lifecycle (LCI Inventory Stages)</w:t>
      </w:r>
    </w:p>
    <w:p>
      <w:pPr>
        <w:pStyle w:val="FirstParagraph"/>
      </w:pPr>
      <w:r>
        <w:t xml:space="preserve">The lifecycle of qlgjpmlgwt is mapped across the following stages, corresponding to GHG Protocol Scope categories:</w:t>
      </w:r>
    </w:p>
    <w:p>
      <w:pPr>
        <w:numPr>
          <w:ilvl w:val="0"/>
          <w:numId w:val="1002"/>
        </w:numPr>
        <w:pStyle w:val="Compact"/>
      </w:pPr>
      <w:r>
        <w:t xml:space="preserve">**Raw Material Acquisition &amp; Processing:** Extraction and initial processing of materials (e.g., metals, plastics, electronic components). (Scope 3, Category 1: Purchased Goods and Services)</w:t>
      </w:r>
    </w:p>
    <w:p>
      <w:pPr>
        <w:numPr>
          <w:ilvl w:val="0"/>
          <w:numId w:val="1002"/>
        </w:numPr>
        <w:pStyle w:val="Compact"/>
      </w:pPr>
      <w:r>
        <w:t xml:space="preserve">**Manufacturing:** Assembly, fabrication, and production processes at zveedsxify\'s facility in China. (Scope 1: Direct emissions from owned/controlled sources; Scope 2: Purchased electricity for operations; Scope 3, Category 1: Upstream components/services)</w:t>
      </w:r>
    </w:p>
    <w:p>
      <w:pPr>
        <w:numPr>
          <w:ilvl w:val="0"/>
          <w:numId w:val="1002"/>
        </w:numPr>
        <w:pStyle w:val="Compact"/>
      </w:pPr>
      <w:r>
        <w:t xml:space="preserve">**Transportation (Upstream &amp; Downstream):**</w:t>
      </w:r>
    </w:p>
    <w:p>
      <w:pPr>
        <w:numPr>
          <w:ilvl w:val="1"/>
          <w:numId w:val="1003"/>
        </w:numPr>
        <w:pStyle w:val="Compact"/>
      </w:pPr>
      <w:r>
        <w:t xml:space="preserve">Inbound: Transport of raw materials and components to the manufacturing facility. (Scope 3, Category 4: Upstream Transportation and Distribution)</w:t>
      </w:r>
    </w:p>
    <w:p>
      <w:pPr>
        <w:numPr>
          <w:ilvl w:val="1"/>
          <w:numId w:val="1003"/>
        </w:numPr>
        <w:pStyle w:val="Compact"/>
      </w:pPr>
      <w:r>
        <w:t xml:space="preserve">Outbound &amp; Last-Mile: Transport of the finished product from the factory to the end-customer. (Scope 3, Category 9: Downstream Transportation and Distribution)</w:t>
      </w:r>
    </w:p>
    <w:p>
      <w:pPr>
        <w:numPr>
          <w:ilvl w:val="0"/>
          <w:numId w:val="1002"/>
        </w:numPr>
        <w:pStyle w:val="Compact"/>
      </w:pPr>
      <w:r>
        <w:t xml:space="preserve">**Use Phase:** Energy consumption during the product\'s operational lifespan by the end-user. (Scope 3, Category 11: Use of Sold Products)</w:t>
      </w:r>
    </w:p>
    <w:p>
      <w:pPr>
        <w:numPr>
          <w:ilvl w:val="0"/>
          <w:numId w:val="1002"/>
        </w:numPr>
        <w:pStyle w:val="Compact"/>
      </w:pPr>
      <w:r>
        <w:t xml:space="preserve">**End-of-Life (EoL):** Disposal, recycling, or recovery processes at the end of the product\'s lifespan. (Scope 3, Category 12: End-of-Life Treatment of Sold Products)</w:t>
      </w:r>
    </w:p>
    <w:p>
      <w:r>
        <w:pict>
          <v:rect style="width:0;height:1.5pt" o:hralign="center" o:hrstd="t" o:hr="t"/>
        </w:pict>
      </w:r>
    </w:p>
    <w:bookmarkEnd w:id="25"/>
    <w:bookmarkEnd w:id="26"/>
    <w:bookmarkStart w:id="32" w:name="data-collection-and-inputs"/>
    <w:p>
      <w:pPr>
        <w:pStyle w:val="Heading2"/>
      </w:pPr>
      <w:r>
        <w:t xml:space="preserve">3. Data Collection and Inputs</w:t>
      </w:r>
    </w:p>
    <w:p>
      <w:pPr>
        <w:pStyle w:val="FirstParagraph"/>
      </w:pPr>
      <w:r>
        <w:t xml:space="preserve">This section details the primary and secondary data points collected and used for the PCF calculation.</w:t>
      </w:r>
    </w:p>
    <w:bookmarkStart w:id="27" w:name="Xc6f4e0511f6e084e7b296ea63a7a103815f4af7"/>
    <w:p>
      <w:pPr>
        <w:pStyle w:val="Heading3"/>
      </w:pPr>
      <w:r>
        <w:t xml:space="preserve">3.1. Detailed Bill of Materials (BOM) - kemzifzd</w:t>
      </w:r>
    </w:p>
    <w:p>
      <w:pPr>
        <w:pStyle w:val="FirstParagraph"/>
      </w:pPr>
      <w:r>
        <w:t xml:space="preserve">The material composition of one unit of qlgjpmlgwt is as follows: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1.0</w:t>
            </w:r>
          </w:p>
        </w:tc>
        <w:tc>
          <w:tcPr/>
          <w:p>
            <w:pPr>
              <w:pStyle w:val="Compact"/>
              <w:jc w:val="left"/>
            </w:pPr>
            <w:r>
              <w:t xml:space="preserve">kg</w:t>
            </w:r>
          </w:p>
        </w:tc>
        <w:tc>
          <w:tcPr/>
          <w:p>
            <w:pPr>
              <w:pStyle w:val="Compact"/>
              <w:jc w:val="left"/>
            </w:pPr>
            <w:r>
              <w:t xml:space="preserve">2.50</w:t>
            </w:r>
          </w:p>
        </w:tc>
        <w:tc>
          <w:tcPr/>
          <w:p>
            <w:pPr>
              <w:pStyle w:val="Compact"/>
              <w:jc w:val="left"/>
            </w:pPr>
            <w:r>
              <w:t xml:space="preserve">2.50</w:t>
            </w:r>
          </w:p>
        </w:tc>
      </w:tr>
      <w:tr>
        <w:tc>
          <w:tcPr/>
          <w:p>
            <w:pPr>
              <w:pStyle w:val="Compact"/>
              <w:jc w:val="left"/>
            </w:pPr>
            <w:r>
              <w:t xml:space="preserve">2</w:t>
            </w:r>
          </w:p>
        </w:tc>
        <w:tc>
          <w:tcPr/>
          <w:p>
            <w:pPr>
              <w:pStyle w:val="Compact"/>
              <w:jc w:val="left"/>
            </w:pPr>
            <w:r>
              <w:t xml:space="preserve">Steel Frame</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2.00</w:t>
            </w:r>
          </w:p>
        </w:tc>
        <w:tc>
          <w:tcPr/>
          <w:p>
            <w:pPr>
              <w:pStyle w:val="Compact"/>
              <w:jc w:val="left"/>
            </w:pPr>
            <w:r>
              <w:t xml:space="preserve">1.60</w:t>
            </w:r>
          </w:p>
        </w:tc>
      </w:tr>
      <w:tr>
        <w:tc>
          <w:tcPr/>
          <w:p>
            <w:pPr>
              <w:pStyle w:val="Compact"/>
              <w:jc w:val="left"/>
            </w:pPr>
            <w:r>
              <w:t xml:space="preserve">3</w:t>
            </w:r>
          </w:p>
        </w:tc>
        <w:tc>
          <w:tcPr/>
          <w:p>
            <w:pPr>
              <w:pStyle w:val="Compact"/>
              <w:jc w:val="left"/>
            </w:pPr>
            <w:r>
              <w:t xml:space="preserve">Aluminum Heat Sink</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8.00</w:t>
            </w:r>
          </w:p>
        </w:tc>
        <w:tc>
          <w:tcPr/>
          <w:p>
            <w:pPr>
              <w:pStyle w:val="Compact"/>
              <w:jc w:val="left"/>
            </w:pPr>
            <w:r>
              <w:t xml:space="preserve">1.60</w:t>
            </w:r>
          </w:p>
        </w:tc>
      </w:tr>
      <w:tr>
        <w:tc>
          <w:tcPr/>
          <w:p>
            <w:pPr>
              <w:pStyle w:val="Compact"/>
              <w:jc w:val="left"/>
            </w:pPr>
            <w:r>
              <w:t xml:space="preserve">4</w:t>
            </w:r>
          </w:p>
        </w:tc>
        <w:tc>
          <w:tcPr/>
          <w:p>
            <w:pPr>
              <w:pStyle w:val="Compact"/>
              <w:jc w:val="left"/>
            </w:pPr>
            <w:r>
              <w:t xml:space="preserve">Electronic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0.3</w:t>
            </w:r>
          </w:p>
        </w:tc>
        <w:tc>
          <w:tcPr/>
          <w:p>
            <w:pPr>
              <w:pStyle w:val="Compact"/>
              <w:jc w:val="left"/>
            </w:pPr>
            <w:r>
              <w:t xml:space="preserve">kg</w:t>
            </w:r>
          </w:p>
        </w:tc>
        <w:tc>
          <w:tcPr/>
          <w:p>
            <w:pPr>
              <w:pStyle w:val="Compact"/>
              <w:jc w:val="left"/>
            </w:pPr>
            <w:r>
              <w:t xml:space="preserve">15.00</w:t>
            </w:r>
          </w:p>
        </w:tc>
        <w:tc>
          <w:tcPr/>
          <w:p>
            <w:pPr>
              <w:pStyle w:val="Compact"/>
              <w:jc w:val="left"/>
            </w:pPr>
            <w:r>
              <w:t xml:space="preserve">4.50</w:t>
            </w:r>
          </w:p>
        </w:tc>
      </w:tr>
      <w:tr>
        <w:tc>
          <w:tcPr/>
          <w:p>
            <w:pPr>
              <w:pStyle w:val="Compact"/>
              <w:jc w:val="left"/>
            </w:pPr>
            <w:r>
              <w:t xml:space="preserve">5</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0.80</w:t>
            </w:r>
          </w:p>
        </w:tc>
        <w:tc>
          <w:tcPr/>
          <w:p>
            <w:pPr>
              <w:pStyle w:val="Compact"/>
              <w:jc w:val="left"/>
            </w:pPr>
            <w:r>
              <w:t xml:space="preserve">0.16</w:t>
            </w:r>
          </w:p>
        </w:tc>
      </w:tr>
      <w:tr>
        <w:tc>
          <w:tcPr>
            <w:gridSpan w:val="4"/>
          </w:tcPr>
          <w:p>
            <w:pPr>
              <w:pStyle w:val="Compact"/>
              <w:jc w:val="left"/>
            </w:pPr>
            <w:r>
              <w:rPr>
                <w:bCs/>
                <w:b/>
              </w:rPr>
              <w:t xml:space="preserve">Total Product Mass (excluding packaging)</w:t>
            </w:r>
          </w:p>
        </w:tc>
        <w:tc>
          <w:tcPr/>
          <w:p>
            <w:pPr>
              <w:pStyle w:val="Compact"/>
              <w:jc w:val="left"/>
            </w:pPr>
            <w:r>
              <w:rPr>
                <w:bCs/>
                <w:b/>
              </w:rPr>
              <w:t xml:space="preserve">2.3</w:t>
            </w:r>
          </w:p>
        </w:tc>
        <w:tc>
          <w:tcPr/>
          <w:p>
            <w:pPr>
              <w:pStyle w:val="Compact"/>
              <w:jc w:val="left"/>
            </w:pPr>
            <w:r>
              <w:rPr>
                <w:bCs/>
                <w:b/>
              </w:rPr>
              <w:t xml:space="preserve">kg</w:t>
            </w:r>
          </w:p>
        </w:tc>
        <w:tc>
          <w:tcPr/>
          <w:p>
            <w:pPr>
              <w:pStyle w:val="Compact"/>
            </w:pPr>
          </w:p>
        </w:tc>
        <w:tc>
          <w:tcPr/>
          <w:p>
            <w:pPr>
              <w:pStyle w:val="Compact"/>
            </w:pPr>
          </w:p>
        </w:tc>
      </w:tr>
      <w:tr>
        <w:tc>
          <w:tcPr>
            <w:gridSpan w:val="4"/>
          </w:tcPr>
          <w:p>
            <w:pPr>
              <w:pStyle w:val="Compact"/>
              <w:jc w:val="left"/>
            </w:pPr>
            <w:r>
              <w:rPr>
                <w:bCs/>
                <w:b/>
              </w:rPr>
              <w:t xml:space="preserve">Total Material Carbon Impact</w:t>
            </w:r>
          </w:p>
        </w:tc>
        <w:tc>
          <w:tcPr/>
          <w:p>
            <w:pPr>
              <w:pStyle w:val="Compact"/>
            </w:pPr>
          </w:p>
        </w:tc>
        <w:tc>
          <w:tcPr/>
          <w:p>
            <w:pPr>
              <w:pStyle w:val="Compact"/>
            </w:pPr>
          </w:p>
        </w:tc>
        <w:tc>
          <w:tcPr/>
          <w:p>
            <w:pPr>
              <w:pStyle w:val="Compact"/>
            </w:pPr>
          </w:p>
        </w:tc>
        <w:tc>
          <w:tcPr/>
          <w:p>
            <w:pPr>
              <w:pStyle w:val="Compact"/>
              <w:jc w:val="left"/>
            </w:pPr>
            <w:r>
              <w:rPr>
                <w:bCs/>
                <w:b/>
              </w:rPr>
              <w:t xml:space="preserve">10.36</w:t>
            </w:r>
          </w:p>
        </w:tc>
      </w:tr>
    </w:tbl>
    <w:p>
      <w:pPr>
        <w:pStyle w:val="BodyText"/>
      </w:pPr>
      <w:r>
        <w:rPr>
          <w:iCs/>
          <w:i/>
        </w:rPr>
        <w:t xml:space="preserve">Note: Emission Factors are industry averages (e.g., Ecoinvent/DEFRA equivalents) for virgin materials, representing cradle-to-gate impact.</w:t>
      </w:r>
    </w:p>
    <w:bookmarkEnd w:id="27"/>
    <w:bookmarkStart w:id="28" w:name="production-energy-customization"/>
    <w:p>
      <w:pPr>
        <w:pStyle w:val="Heading3"/>
      </w:pPr>
      <w:r>
        <w:t xml:space="preserve">3.2. Production Energy Customization</w:t>
      </w:r>
    </w:p>
    <w:p>
      <w:pPr>
        <w:numPr>
          <w:ilvl w:val="0"/>
          <w:numId w:val="1004"/>
        </w:numPr>
        <w:pStyle w:val="Compact"/>
      </w:pPr>
      <w:r>
        <w:rPr>
          <w:bCs/>
          <w:b/>
        </w:rPr>
        <w:t xml:space="preserve">Energy Intensity (kWh/unit):</w:t>
      </w:r>
      <w:r>
        <w:t xml:space="preserve"> </w:t>
      </w:r>
      <w:r>
        <w:t xml:space="preserve">lemrsilrjf = 8 kWh/unit.</w:t>
      </w:r>
    </w:p>
    <w:p>
      <w:pPr>
        <w:numPr>
          <w:ilvl w:val="0"/>
          <w:numId w:val="1004"/>
        </w:numPr>
        <w:pStyle w:val="Compact"/>
      </w:pPr>
      <w:r>
        <w:rPr>
          <w:bCs/>
          <w:b/>
        </w:rPr>
        <w:t xml:space="preserve">Renewable Energy Usage:</w:t>
      </w:r>
      <w:r>
        <w:t xml:space="preserve"> </w:t>
      </w:r>
      <w:r>
        <w:t xml:space="preserve">wxqtsfezup = 75% (of total energy for production).</w:t>
      </w:r>
    </w:p>
    <w:p>
      <w:pPr>
        <w:numPr>
          <w:ilvl w:val="0"/>
          <w:numId w:val="1004"/>
        </w:numPr>
        <w:pStyle w:val="Compact"/>
      </w:pPr>
      <w:r>
        <w:rPr>
          <w:bCs/>
          <w:b/>
        </w:rPr>
        <w:t xml:space="preserve">Non-Renewable Energy Usage:</w:t>
      </w:r>
      <w:r>
        <w:t xml:space="preserve"> </w:t>
      </w:r>
      <w:r>
        <w:t xml:space="preserve">25% (100% - 75%).</w:t>
      </w:r>
    </w:p>
    <w:p>
      <w:pPr>
        <w:numPr>
          <w:ilvl w:val="0"/>
          <w:numId w:val="1004"/>
        </w:numPr>
        <w:pStyle w:val="Compact"/>
      </w:pPr>
      <w:r>
        <w:rPr>
          <w:bCs/>
          <w:b/>
        </w:rPr>
        <w:t xml:space="preserve">Electricity Grid Emission Factor (China):</w:t>
      </w:r>
      <w:r>
        <w:t xml:space="preserve"> </w:t>
      </w:r>
      <w:r>
        <w:t xml:space="preserve">0.55 kg CO2e/kWh (estimated average for China).</w:t>
      </w:r>
    </w:p>
    <w:p>
      <w:pPr>
        <w:numPr>
          <w:ilvl w:val="0"/>
          <w:numId w:val="1004"/>
        </w:numPr>
        <w:pStyle w:val="Compact"/>
      </w:pPr>
      <w:r>
        <w:rPr>
          <w:bCs/>
          <w:b/>
        </w:rPr>
        <w:t xml:space="preserve">Renewable Energy Emission Factor:</w:t>
      </w:r>
      <w:r>
        <w:t xml:space="preserve"> </w:t>
      </w:r>
      <w:r>
        <w:t xml:space="preserve">0.0 kg CO2e/kWh (assumed zero for purchased, certified renewable energy for simplicity in direct calculation).</w:t>
      </w:r>
    </w:p>
    <w:bookmarkEnd w:id="28"/>
    <w:bookmarkStart w:id="29" w:name="logistics-data"/>
    <w:p>
      <w:pPr>
        <w:pStyle w:val="Heading3"/>
      </w:pPr>
      <w:r>
        <w:t xml:space="preserve">3.3. Logistics Data</w:t>
      </w:r>
    </w:p>
    <w:p>
      <w:pPr>
        <w:numPr>
          <w:ilvl w:val="0"/>
          <w:numId w:val="1005"/>
        </w:numPr>
        <w:pStyle w:val="Compact"/>
      </w:pPr>
      <w:r>
        <w:rPr>
          <w:bCs/>
          <w:b/>
        </w:rPr>
        <w:t xml:space="preserve">Total Product Weight (for transport):</w:t>
      </w:r>
      <w:r>
        <w:t xml:space="preserve"> </w:t>
      </w:r>
      <w:r>
        <w:t xml:space="preserve">2.5 kg (including packaging).</w:t>
      </w:r>
    </w:p>
    <w:p>
      <w:pPr>
        <w:numPr>
          <w:ilvl w:val="0"/>
          <w:numId w:val="1005"/>
        </w:numPr>
        <w:pStyle w:val="Compact"/>
      </w:pPr>
      <w:r>
        <w:rPr>
          <w:bCs/>
          <w:b/>
        </w:rPr>
        <w:t xml:space="preserve">Transport Mode (Inbound/Outbound Primary):</w:t>
      </w:r>
      <w:r>
        <w:t xml:space="preserve"> </w:t>
      </w:r>
      <w:r>
        <w:t xml:space="preserve">Ocean Freight.</w:t>
      </w:r>
    </w:p>
    <w:p>
      <w:pPr>
        <w:numPr>
          <w:ilvl w:val="0"/>
          <w:numId w:val="1005"/>
        </w:numPr>
        <w:pStyle w:val="Compact"/>
      </w:pPr>
      <w:r>
        <w:rPr>
          <w:bCs/>
          <w:b/>
        </w:rPr>
        <w:t xml:space="preserve">Transport Distance (Primary):</w:t>
      </w:r>
      <w:r>
        <w:t xml:space="preserve"> </w:t>
      </w:r>
      <w:r>
        <w:t xml:space="preserve">yikkqordlt = 15,000 km (China to Europe).</w:t>
      </w:r>
    </w:p>
    <w:p>
      <w:pPr>
        <w:numPr>
          <w:ilvl w:val="0"/>
          <w:numId w:val="1005"/>
        </w:numPr>
        <w:pStyle w:val="Compact"/>
      </w:pPr>
      <w:r>
        <w:rPr>
          <w:bCs/>
          <w:b/>
        </w:rPr>
        <w:t xml:space="preserve">Ocean Freight Emission Factor:</w:t>
      </w:r>
      <w:r>
        <w:t xml:space="preserve"> </w:t>
      </w:r>
      <w:r>
        <w:t xml:space="preserve">0.01 kg CO2e/tonne-km.</w:t>
      </w:r>
    </w:p>
    <w:p>
      <w:pPr>
        <w:numPr>
          <w:ilvl w:val="0"/>
          <w:numId w:val="1005"/>
        </w:numPr>
        <w:pStyle w:val="Compact"/>
      </w:pPr>
      <w:r>
        <w:rPr>
          <w:bCs/>
          <w:b/>
        </w:rPr>
        <w:t xml:space="preserve">Transport Mode (European Distribution):</w:t>
      </w:r>
      <w:r>
        <w:t xml:space="preserve"> </w:t>
      </w:r>
      <w:r>
        <w:t xml:space="preserve">Truck (Heavy Goods Vehicle).</w:t>
      </w:r>
    </w:p>
    <w:p>
      <w:pPr>
        <w:numPr>
          <w:ilvl w:val="0"/>
          <w:numId w:val="1005"/>
        </w:numPr>
        <w:pStyle w:val="Compact"/>
      </w:pPr>
      <w:r>
        <w:rPr>
          <w:bCs/>
          <w:b/>
        </w:rPr>
        <w:t xml:space="preserve">Transport Distance (European Distribution):</w:t>
      </w:r>
      <w:r>
        <w:t xml:space="preserve"> </w:t>
      </w:r>
      <w:r>
        <w:t xml:space="preserve">500 km.</w:t>
      </w:r>
    </w:p>
    <w:p>
      <w:pPr>
        <w:numPr>
          <w:ilvl w:val="0"/>
          <w:numId w:val="1005"/>
        </w:numPr>
        <w:pStyle w:val="Compact"/>
      </w:pPr>
      <w:r>
        <w:rPr>
          <w:bCs/>
          <w:b/>
        </w:rPr>
        <w:t xml:space="preserve">Truck Emission Factor:</w:t>
      </w:r>
      <w:r>
        <w:t xml:space="preserve"> </w:t>
      </w:r>
      <w:r>
        <w:t xml:space="preserve">0.1 kg CO2e/tonne-km.</w:t>
      </w:r>
    </w:p>
    <w:p>
      <w:pPr>
        <w:numPr>
          <w:ilvl w:val="0"/>
          <w:numId w:val="1005"/>
        </w:numPr>
        <w:pStyle w:val="Compact"/>
      </w:pPr>
      <w:r>
        <w:rPr>
          <w:bCs/>
          <w:b/>
        </w:rPr>
        <w:t xml:space="preserve">Last-Mile Delivery Channel:</w:t>
      </w:r>
      <w:r>
        <w:t xml:space="preserve"> </w:t>
      </w:r>
      <w:r>
        <w:t xml:space="preserve">Delivery Type = Van Delivery.</w:t>
      </w:r>
    </w:p>
    <w:p>
      <w:pPr>
        <w:numPr>
          <w:ilvl w:val="0"/>
          <w:numId w:val="1005"/>
        </w:numPr>
        <w:pStyle w:val="Compact"/>
      </w:pPr>
      <w:r>
        <w:rPr>
          <w:bCs/>
          <w:b/>
        </w:rPr>
        <w:t xml:space="preserve">Last-Mile Delivery Distance:</w:t>
      </w:r>
      <w:r>
        <w:t xml:space="preserve"> </w:t>
      </w:r>
      <w:r>
        <w:t xml:space="preserve">50 km.</w:t>
      </w:r>
    </w:p>
    <w:p>
      <w:pPr>
        <w:numPr>
          <w:ilvl w:val="0"/>
          <w:numId w:val="1005"/>
        </w:numPr>
        <w:pStyle w:val="Compact"/>
      </w:pPr>
      <w:r>
        <w:rPr>
          <w:bCs/>
          <w:b/>
        </w:rPr>
        <w:t xml:space="preserve">Van Delivery Emission Factor:</w:t>
      </w:r>
      <w:r>
        <w:t xml:space="preserve"> </w:t>
      </w:r>
      <w:r>
        <w:t xml:space="preserve">0.3 kg CO2e/tonne-km (higher impact due to smaller load, frequent stops).</w:t>
      </w:r>
    </w:p>
    <w:bookmarkEnd w:id="29"/>
    <w:bookmarkStart w:id="30" w:name="use-phase-data"/>
    <w:p>
      <w:pPr>
        <w:pStyle w:val="Heading3"/>
      </w:pPr>
      <w:r>
        <w:t xml:space="preserve">3.4. Use Phase Data</w:t>
      </w:r>
    </w:p>
    <w:p>
      <w:pPr>
        <w:numPr>
          <w:ilvl w:val="0"/>
          <w:numId w:val="1006"/>
        </w:numPr>
        <w:pStyle w:val="Compact"/>
      </w:pPr>
      <w:r>
        <w:rPr>
          <w:bCs/>
          <w:b/>
        </w:rPr>
        <w:t xml:space="preserve">Product Lifespan:</w:t>
      </w:r>
      <w:r>
        <w:t xml:space="preserve"> </w:t>
      </w:r>
      <w:r>
        <w:t xml:space="preserve">lmpirywdhi = 7 years.</w:t>
      </w:r>
    </w:p>
    <w:p>
      <w:pPr>
        <w:numPr>
          <w:ilvl w:val="0"/>
          <w:numId w:val="1006"/>
        </w:numPr>
        <w:pStyle w:val="Compact"/>
      </w:pPr>
      <w:r>
        <w:rPr>
          <w:bCs/>
          <w:b/>
        </w:rPr>
        <w:t xml:space="preserve">Energy Consumption in Use:</w:t>
      </w:r>
      <w:r>
        <w:t xml:space="preserve"> </w:t>
      </w:r>
      <w:r>
        <w:t xml:space="preserve">iqxdvynnhf = 15 kWh/year.</w:t>
      </w:r>
    </w:p>
    <w:p>
      <w:pPr>
        <w:numPr>
          <w:ilvl w:val="0"/>
          <w:numId w:val="1006"/>
        </w:numPr>
        <w:pStyle w:val="Compact"/>
      </w:pPr>
      <w:r>
        <w:rPr>
          <w:bCs/>
          <w:b/>
        </w:rPr>
        <w:t xml:space="preserve">Assumed Electricity Grid Emission Factor (End-User, Europe Average):</w:t>
      </w:r>
      <w:r>
        <w:t xml:space="preserve"> </w:t>
      </w:r>
      <w:r>
        <w:t xml:space="preserve">0.3 kg CO2e/kWh (average for Europe, acknowledging variability by country).</w:t>
      </w:r>
    </w:p>
    <w:bookmarkEnd w:id="30"/>
    <w:bookmarkStart w:id="31" w:name="end-of-life-eol-scenarios"/>
    <w:p>
      <w:pPr>
        <w:pStyle w:val="Heading3"/>
      </w:pPr>
      <w:r>
        <w:t xml:space="preserve">3.5. End-of-Life (EoL) Scenarios</w:t>
      </w:r>
    </w:p>
    <w:p>
      <w:pPr>
        <w:numPr>
          <w:ilvl w:val="0"/>
          <w:numId w:val="1007"/>
        </w:numPr>
        <w:pStyle w:val="Compact"/>
      </w:pPr>
      <w:r>
        <w:rPr>
          <w:bCs/>
          <w:b/>
        </w:rPr>
        <w:t xml:space="preserve">Recyclability Percentage:</w:t>
      </w:r>
      <w:r>
        <w:t xml:space="preserve"> </w:t>
      </w:r>
      <w:r>
        <w:t xml:space="preserve">zkueutxehw = 80%.</w:t>
      </w:r>
    </w:p>
    <w:p>
      <w:pPr>
        <w:numPr>
          <w:ilvl w:val="0"/>
          <w:numId w:val="1007"/>
        </w:numPr>
        <w:pStyle w:val="Compact"/>
      </w:pPr>
      <w:r>
        <w:rPr>
          <w:bCs/>
          <w:b/>
        </w:rPr>
        <w:t xml:space="preserve">Non-Recycled Waste Percentage:</w:t>
      </w:r>
      <w:r>
        <w:t xml:space="preserve"> </w:t>
      </w:r>
      <w:r>
        <w:t xml:space="preserve">20%.</w:t>
      </w:r>
    </w:p>
    <w:p>
      <w:pPr>
        <w:numPr>
          <w:ilvl w:val="0"/>
          <w:numId w:val="1007"/>
        </w:numPr>
        <w:pStyle w:val="Compact"/>
      </w:pPr>
      <w:r>
        <w:rPr>
          <w:bCs/>
          <w:b/>
        </w:rPr>
        <w:t xml:space="preserve">Circular/Take-back Programs:</w:t>
      </w:r>
      <w:r>
        <w:t xml:space="preserve"> </w:t>
      </w:r>
      <w:r>
        <w:t xml:space="preserve">zvhmzmfuxh = Yes, zveedsxify operates a robust product take-back and refurbishment program, significantly reducing the burden of new material extraction for returned products. This program also ensures high-quality recycling for non-reusable components.</w:t>
      </w:r>
    </w:p>
    <w:p>
      <w:pPr>
        <w:numPr>
          <w:ilvl w:val="0"/>
          <w:numId w:val="1007"/>
        </w:numPr>
        <w:pStyle w:val="Compact"/>
      </w:pPr>
      <w:r>
        <w:rPr>
          <w:bCs/>
          <w:b/>
        </w:rPr>
        <w:t xml:space="preserve">Landfill Emission Factor (General Mixed Waste):</w:t>
      </w:r>
      <w:r>
        <w:t xml:space="preserve"> </w:t>
      </w:r>
      <w:r>
        <w:t xml:space="preserve">1.1 kg CO2e/kg (for non-recycled components based on degradable material in landfill).</w:t>
      </w:r>
    </w:p>
    <w:p>
      <w:pPr>
        <w:numPr>
          <w:ilvl w:val="0"/>
          <w:numId w:val="1007"/>
        </w:numPr>
        <w:pStyle w:val="Compact"/>
      </w:pPr>
      <w:r>
        <w:rPr>
          <w:bCs/>
          <w:b/>
        </w:rPr>
        <w:t xml:space="preserve">Recycling Benefit:</w:t>
      </w:r>
      <w:r>
        <w:t xml:space="preserve"> </w:t>
      </w:r>
      <w:r>
        <w:t xml:space="preserve">While not explicitly calculated as avoided emissions in this summary (as the BOM is for virgin materials), the high recyclability greatly reduces the demand for virgin materials in subsequent lifecycles, offering substantial environmental benefits.</w:t>
      </w:r>
    </w:p>
    <w:p>
      <w:r>
        <w:pict>
          <v:rect style="width:0;height:1.5pt" o:hralign="center" o:hrstd="t" o:hr="t"/>
        </w:pict>
      </w:r>
    </w:p>
    <w:bookmarkEnd w:id="31"/>
    <w:bookmarkEnd w:id="32"/>
    <w:bookmarkStart w:id="41" w:name="Xdd1c2ba429305467bad58a0828410d9d0fce25c"/>
    <w:p>
      <w:pPr>
        <w:pStyle w:val="Heading2"/>
      </w:pPr>
      <w:r>
        <w:t xml:space="preserve">4. Emissions Calculation (Activity * Emission Factor = CO2e)</w:t>
      </w:r>
    </w:p>
    <w:p>
      <w:pPr>
        <w:pStyle w:val="FirstParagraph"/>
      </w:pPr>
      <w:r>
        <w:t xml:space="preserve">Emissions are calculated and categorized according to the GHG Protocol. All calculations are expressed in kg CO2e.</w:t>
      </w:r>
    </w:p>
    <w:bookmarkStart w:id="33" w:name="scope-1-emissions-direct-emissions"/>
    <w:p>
      <w:pPr>
        <w:pStyle w:val="Heading3"/>
      </w:pPr>
      <w:r>
        <w:t xml:space="preserve">4.1. Scope 1 Emissions (Direct Emissions)</w:t>
      </w:r>
    </w:p>
    <w:p>
      <w:pPr>
        <w:pStyle w:val="FirstParagraph"/>
      </w:pPr>
      <w:r>
        <w:t xml:space="preserve">For the \'factory_gate\' boundary, direct Scope 1 emissions (e.g., from company-owned vehicles or on-site fuel combustion not related to electricity generation) are assumed to be negligible or covered within upstream Scope 3 for this specific product\'s PCF due to the focus on purchased electricity and materials. If zveedsxify had direct process emissions or owned fleet emissions directly attributable to the manufacturing of qlgjpmlgwt, they would be included here. As no specific data for these were provided for the product, we report:</w:t>
      </w:r>
    </w:p>
    <w:p>
      <w:pPr>
        <w:numPr>
          <w:ilvl w:val="0"/>
          <w:numId w:val="1008"/>
        </w:numPr>
        <w:pStyle w:val="Compact"/>
      </w:pPr>
      <w:r>
        <w:rPr>
          <w:bCs/>
          <w:b/>
        </w:rPr>
        <w:t xml:space="preserve">Scope 1 Emissions: 0.00 kg CO2e</w:t>
      </w:r>
    </w:p>
    <w:bookmarkEnd w:id="33"/>
    <w:bookmarkStart w:id="34" w:name="X74867a7b2c16b8de440578aa3f6074c77be2239"/>
    <w:p>
      <w:pPr>
        <w:pStyle w:val="Heading3"/>
      </w:pPr>
      <w:r>
        <w:t xml:space="preserve">4.2. Scope 2 Emissions (Purchased Electricity for Manufacturing)</w:t>
      </w:r>
    </w:p>
    <w:p>
      <w:pPr>
        <w:pStyle w:val="FirstParagraph"/>
      </w:pPr>
      <w:r>
        <w:t xml:space="preserve">Production Energy Intensity: 8 kWh/unit</w:t>
      </w:r>
    </w:p>
    <w:p>
      <w:pPr>
        <w:pStyle w:val="BodyText"/>
      </w:pPr>
      <w:r>
        <w:t xml:space="preserve">Non-Renewable Energy Usage: 25%</w:t>
      </w:r>
    </w:p>
    <w:p>
      <w:pPr>
        <w:pStyle w:val="BodyText"/>
      </w:pPr>
      <w:r>
        <w:t xml:space="preserve">Purchased Non-Renewable Electricity: 8 kWh/unit * 0.25 = 2.0 kWh/unit</w:t>
      </w:r>
    </w:p>
    <w:p>
      <w:pPr>
        <w:pStyle w:val="BodyText"/>
      </w:pPr>
      <w:r>
        <w:t xml:space="preserve">Electricity Grid Emission Factor (China): 0.55 kg CO2e/kWh</w:t>
      </w:r>
    </w:p>
    <w:p>
      <w:pPr>
        <w:pStyle w:val="BodyText"/>
      </w:pPr>
      <w:r>
        <w:t xml:space="preserve">Calculation: 2.0 kWh/unit * 0.55 kg CO2e/kWh</w:t>
      </w:r>
    </w:p>
    <w:p>
      <w:pPr>
        <w:numPr>
          <w:ilvl w:val="0"/>
          <w:numId w:val="1009"/>
        </w:numPr>
        <w:pStyle w:val="Compact"/>
      </w:pPr>
      <w:r>
        <w:rPr>
          <w:bCs/>
          <w:b/>
        </w:rPr>
        <w:t xml:space="preserve">Scope 2 Emissions: 1.10 kg CO2e</w:t>
      </w:r>
    </w:p>
    <w:bookmarkEnd w:id="34"/>
    <w:bookmarkStart w:id="40" w:name="scope-3-emissions-value-chain"/>
    <w:p>
      <w:pPr>
        <w:pStyle w:val="Heading3"/>
      </w:pPr>
      <w:r>
        <w:t xml:space="preserve">4.3. Scope 3 Emissions (Value Chain)</w:t>
      </w:r>
    </w:p>
    <w:bookmarkStart w:id="35" w:name="Xab9729a0caae076ca89f2f71668734f92723cf2"/>
    <w:p>
      <w:pPr>
        <w:pStyle w:val="Heading4"/>
      </w:pPr>
      <w:r>
        <w:t xml:space="preserve">4.3.1. Category 1: Purchased Goods and Services (Materials)</w:t>
      </w:r>
    </w:p>
    <w:p>
      <w:pPr>
        <w:pStyle w:val="FirstParagraph"/>
      </w:pPr>
      <w:r>
        <w:t xml:space="preserve">Calculated directly from the Detailed BOM:</w:t>
      </w:r>
    </w:p>
    <w:p>
      <w:pPr>
        <w:numPr>
          <w:ilvl w:val="0"/>
          <w:numId w:val="1010"/>
        </w:numPr>
        <w:pStyle w:val="Compact"/>
      </w:pPr>
      <w:r>
        <w:rPr>
          <w:bCs/>
          <w:b/>
        </w:rPr>
        <w:t xml:space="preserve">Total Material Carbon Impact: 10.36 kg CO2e</w:t>
      </w:r>
    </w:p>
    <w:bookmarkEnd w:id="35"/>
    <w:bookmarkStart w:id="36" w:name="Xd5625b56a3db275624e1e15365cc02abc2a75bc"/>
    <w:p>
      <w:pPr>
        <w:pStyle w:val="Heading4"/>
      </w:pPr>
      <w:r>
        <w:t xml:space="preserve">4.3.2. Category 4: Upstream Transportation and Distribution (Raw Materials &amp; Components to Factory)</w:t>
      </w:r>
    </w:p>
    <w:p>
      <w:pPr>
        <w:pStyle w:val="FirstParagraph"/>
      </w:pPr>
      <w:r>
        <w:t xml:space="preserve">Assumed average product weight (materials + components) for inbound logistics: 2.3 kg (from BOM total product mass excluding packaging)</w:t>
      </w:r>
    </w:p>
    <w:p>
      <w:pPr>
        <w:pStyle w:val="BodyText"/>
      </w:pPr>
      <w:r>
        <w:t xml:space="preserve">Primary Inbound Transport (Ocean Freight):</w:t>
      </w:r>
    </w:p>
    <w:p>
      <w:pPr>
        <w:numPr>
          <w:ilvl w:val="0"/>
          <w:numId w:val="1011"/>
        </w:numPr>
        <w:pStyle w:val="Compact"/>
      </w:pPr>
      <w:r>
        <w:t xml:space="preserve">Distance: 15,000 km</w:t>
      </w:r>
    </w:p>
    <w:p>
      <w:pPr>
        <w:numPr>
          <w:ilvl w:val="0"/>
          <w:numId w:val="1011"/>
        </w:numPr>
        <w:pStyle w:val="Compact"/>
      </w:pPr>
      <w:r>
        <w:t xml:space="preserve">Emission Factor: 0.01 kg CO2e/tonne-km</w:t>
      </w:r>
    </w:p>
    <w:p>
      <w:pPr>
        <w:numPr>
          <w:ilvl w:val="0"/>
          <w:numId w:val="1011"/>
        </w:numPr>
        <w:pStyle w:val="Compact"/>
      </w:pPr>
      <w:r>
        <w:t xml:space="preserve">Calculation: 2.3 kg * (1 tonne / 1000 kg) * 15,000 km * 0.01 kg CO2e/tonne-km = 0.345 kg CO2e</w:t>
      </w:r>
    </w:p>
    <w:p>
      <w:pPr>
        <w:pStyle w:val="FirstParagraph"/>
      </w:pPr>
      <w:r>
        <w:rPr>
          <w:iCs/>
          <w:i/>
        </w:rPr>
        <w:t xml:space="preserve">Note: For simplicity, a single primary inbound transport mode is considered.</w:t>
      </w:r>
    </w:p>
    <w:p>
      <w:pPr>
        <w:numPr>
          <w:ilvl w:val="0"/>
          <w:numId w:val="1012"/>
        </w:numPr>
        <w:pStyle w:val="Compact"/>
      </w:pPr>
      <w:r>
        <w:rPr>
          <w:bCs/>
          <w:b/>
        </w:rPr>
        <w:t xml:space="preserve">Upstream Transportation Emissions: 0.345 kg CO2e</w:t>
      </w:r>
    </w:p>
    <w:bookmarkEnd w:id="36"/>
    <w:bookmarkStart w:id="37" w:name="X2f51e7c3a11e2e9f5c0632f144a67d9f5c7ede1"/>
    <w:p>
      <w:pPr>
        <w:pStyle w:val="Heading4"/>
      </w:pPr>
      <w:r>
        <w:t xml:space="preserve">4.3.3. Category 9: Downstream Transportation and Distribution (Product from Factory to Customer)</w:t>
      </w:r>
    </w:p>
    <w:p>
      <w:pPr>
        <w:pStyle w:val="FirstParagraph"/>
      </w:pPr>
      <w:r>
        <w:t xml:space="preserve">Product Weight (including packaging): 2.5 kg</w:t>
      </w:r>
    </w:p>
    <w:p>
      <w:pPr>
        <w:pStyle w:val="BodyText"/>
      </w:pPr>
      <w:r>
        <w:t xml:space="preserve">Outbound Primary Transport (Ocean Freight - China to Europe):</w:t>
      </w:r>
    </w:p>
    <w:p>
      <w:pPr>
        <w:numPr>
          <w:ilvl w:val="0"/>
          <w:numId w:val="1013"/>
        </w:numPr>
        <w:pStyle w:val="Compact"/>
      </w:pPr>
      <w:r>
        <w:t xml:space="preserve">Distance: 15,000 km</w:t>
      </w:r>
    </w:p>
    <w:p>
      <w:pPr>
        <w:numPr>
          <w:ilvl w:val="0"/>
          <w:numId w:val="1013"/>
        </w:numPr>
        <w:pStyle w:val="Compact"/>
      </w:pPr>
      <w:r>
        <w:t xml:space="preserve">Emission Factor: 0.01 kg CO2e/tonne-km</w:t>
      </w:r>
    </w:p>
    <w:p>
      <w:pPr>
        <w:numPr>
          <w:ilvl w:val="0"/>
          <w:numId w:val="1013"/>
        </w:numPr>
        <w:pStyle w:val="Compact"/>
      </w:pPr>
      <w:r>
        <w:t xml:space="preserve">Calculation: 2.5 kg * (1 tonne / 1000 kg) * 15,000 km * 0.01 kg CO2e/tonne-km = 0.375 kg CO2e</w:t>
      </w:r>
    </w:p>
    <w:p>
      <w:pPr>
        <w:pStyle w:val="FirstParagraph"/>
      </w:pPr>
      <w:r>
        <w:t xml:space="preserve">European Distribution (Truck):</w:t>
      </w:r>
    </w:p>
    <w:p>
      <w:pPr>
        <w:numPr>
          <w:ilvl w:val="0"/>
          <w:numId w:val="1014"/>
        </w:numPr>
        <w:pStyle w:val="Compact"/>
      </w:pPr>
      <w:r>
        <w:t xml:space="preserve">Distance: 500 km</w:t>
      </w:r>
    </w:p>
    <w:p>
      <w:pPr>
        <w:numPr>
          <w:ilvl w:val="0"/>
          <w:numId w:val="1014"/>
        </w:numPr>
        <w:pStyle w:val="Compact"/>
      </w:pPr>
      <w:r>
        <w:t xml:space="preserve">Emission Factor: 0.1 kg CO2e/tonne-km</w:t>
      </w:r>
    </w:p>
    <w:p>
      <w:pPr>
        <w:numPr>
          <w:ilvl w:val="0"/>
          <w:numId w:val="1014"/>
        </w:numPr>
        <w:pStyle w:val="Compact"/>
      </w:pPr>
      <w:r>
        <w:t xml:space="preserve">Calculation: 2.5 kg * (1 tonne / 1000 kg) * 500 km * 0.1 kg CO2e/tonne-km = 0.125 kg CO2e</w:t>
      </w:r>
    </w:p>
    <w:p>
      <w:pPr>
        <w:pStyle w:val="FirstParagraph"/>
      </w:pPr>
      <w:r>
        <w:t xml:space="preserve">Last-Mile Delivery (Van Delivery):</w:t>
      </w:r>
    </w:p>
    <w:p>
      <w:pPr>
        <w:numPr>
          <w:ilvl w:val="0"/>
          <w:numId w:val="1015"/>
        </w:numPr>
        <w:pStyle w:val="Compact"/>
      </w:pPr>
      <w:r>
        <w:t xml:space="preserve">Distance: 50 km</w:t>
      </w:r>
    </w:p>
    <w:p>
      <w:pPr>
        <w:numPr>
          <w:ilvl w:val="0"/>
          <w:numId w:val="1015"/>
        </w:numPr>
        <w:pStyle w:val="Compact"/>
      </w:pPr>
      <w:r>
        <w:t xml:space="preserve">Emission Factor: 0.3 kg CO2e/tonne-km</w:t>
      </w:r>
    </w:p>
    <w:p>
      <w:pPr>
        <w:numPr>
          <w:ilvl w:val="0"/>
          <w:numId w:val="1015"/>
        </w:numPr>
        <w:pStyle w:val="Compact"/>
      </w:pPr>
      <w:r>
        <w:t xml:space="preserve">Calculation: 2.5 kg * (1 tonne / 1000 kg) * 50 km * 0.3 kg CO2e/tonne-km = 0.0375 kg CO2e</w:t>
      </w:r>
    </w:p>
    <w:p>
      <w:pPr>
        <w:numPr>
          <w:ilvl w:val="0"/>
          <w:numId w:val="1016"/>
        </w:numPr>
        <w:pStyle w:val="Compact"/>
      </w:pPr>
      <w:r>
        <w:rPr>
          <w:bCs/>
          <w:b/>
        </w:rPr>
        <w:t xml:space="preserve">Downstream Transportation Emissions: 0.375 + 0.125 + 0.0375 = 0.538 kg CO2e</w:t>
      </w:r>
    </w:p>
    <w:bookmarkEnd w:id="37"/>
    <w:bookmarkStart w:id="38" w:name="category-11-use-of-sold-products"/>
    <w:p>
      <w:pPr>
        <w:pStyle w:val="Heading4"/>
      </w:pPr>
      <w:r>
        <w:t xml:space="preserve">4.3.4. Category 11: Use of Sold Products</w:t>
      </w:r>
    </w:p>
    <w:p>
      <w:pPr>
        <w:pStyle w:val="FirstParagraph"/>
      </w:pPr>
      <w:r>
        <w:t xml:space="preserve">Product Lifespan: 7 years</w:t>
      </w:r>
    </w:p>
    <w:p>
      <w:pPr>
        <w:pStyle w:val="BodyText"/>
      </w:pPr>
      <w:r>
        <w:t xml:space="preserve">Energy Consumption in Use: 15 kWh/year</w:t>
      </w:r>
    </w:p>
    <w:p>
      <w:pPr>
        <w:pStyle w:val="BodyText"/>
      </w:pPr>
      <w:r>
        <w:t xml:space="preserve">Electricity Grid Emission Factor (End-User, Europe Average): 0.3 kg CO2e/kWh</w:t>
      </w:r>
    </w:p>
    <w:p>
      <w:pPr>
        <w:pStyle w:val="BodyText"/>
      </w:pPr>
      <w:r>
        <w:t xml:space="preserve">Calculation: 7 years * 15 kWh/year * 0.3 kg CO2e/kWh</w:t>
      </w:r>
    </w:p>
    <w:p>
      <w:pPr>
        <w:numPr>
          <w:ilvl w:val="0"/>
          <w:numId w:val="1017"/>
        </w:numPr>
        <w:pStyle w:val="Compact"/>
      </w:pPr>
      <w:r>
        <w:rPr>
          <w:bCs/>
          <w:b/>
        </w:rPr>
        <w:t xml:space="preserve">Use Phase Emissions: 31.50 kg CO2e</w:t>
      </w:r>
    </w:p>
    <w:bookmarkEnd w:id="38"/>
    <w:bookmarkStart w:id="39" w:name="X9f66eef2700632e081dfe139021cb724ffcd2c5"/>
    <w:p>
      <w:pPr>
        <w:pStyle w:val="Heading4"/>
      </w:pPr>
      <w:r>
        <w:t xml:space="preserve">4.3.5. Category 12: End-of-Life Treatment of Sold Products</w:t>
      </w:r>
    </w:p>
    <w:p>
      <w:pPr>
        <w:pStyle w:val="FirstParagraph"/>
      </w:pPr>
      <w:r>
        <w:t xml:space="preserve">Product Weight (excluding packaging): 2.3 kg</w:t>
      </w:r>
    </w:p>
    <w:p>
      <w:pPr>
        <w:pStyle w:val="BodyText"/>
      </w:pPr>
      <w:r>
        <w:t xml:space="preserve">Non-Recycled Waste Percentage: 20%</w:t>
      </w:r>
    </w:p>
    <w:p>
      <w:pPr>
        <w:pStyle w:val="BodyText"/>
      </w:pPr>
      <w:r>
        <w:t xml:space="preserve">Waste to Landfill: 2.3 kg * 0.20 = 0.46 kg</w:t>
      </w:r>
    </w:p>
    <w:p>
      <w:pPr>
        <w:pStyle w:val="BodyText"/>
      </w:pPr>
      <w:r>
        <w:t xml:space="preserve">Landfill Emission Factor: 1.1 kg CO2e/kg</w:t>
      </w:r>
    </w:p>
    <w:p>
      <w:pPr>
        <w:pStyle w:val="BodyText"/>
      </w:pPr>
      <w:r>
        <w:t xml:space="preserve">Calculation: 0.46 kg * 1.1 kg CO2e/kg</w:t>
      </w:r>
    </w:p>
    <w:p>
      <w:pPr>
        <w:numPr>
          <w:ilvl w:val="0"/>
          <w:numId w:val="1018"/>
        </w:numPr>
        <w:pStyle w:val="Compact"/>
      </w:pPr>
      <w:r>
        <w:rPr>
          <w:bCs/>
          <w:b/>
        </w:rPr>
        <w:t xml:space="preserve">End-of-Life Emissions: 0.506 kg CO2e</w:t>
      </w:r>
    </w:p>
    <w:p>
      <w:r>
        <w:pict>
          <v:rect style="width:0;height:1.5pt" o:hralign="center" o:hrstd="t" o:hr="t"/>
        </w:pict>
      </w:r>
    </w:p>
    <w:bookmarkEnd w:id="39"/>
    <w:bookmarkEnd w:id="40"/>
    <w:bookmarkEnd w:id="41"/>
    <w:bookmarkStart w:id="45" w:name="X713d688d80062ef1426dd83d80da10454a6df25"/>
    <w:p>
      <w:pPr>
        <w:pStyle w:val="Heading2"/>
      </w:pPr>
      <w:r>
        <w:t xml:space="preserve">5. Total Product Carbon Footprint and Summary of Emissions</w:t>
      </w:r>
    </w:p>
    <w:bookmarkStart w:id="42" w:name="summary-of-emissions-by-scope"/>
    <w:p>
      <w:pPr>
        <w:pStyle w:val="Heading3"/>
      </w:pPr>
      <w:r>
        <w:t xml:space="preserve">5.1. Summary of Emissions by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Scope Category</w:t>
            </w:r>
          </w:p>
        </w:tc>
        <w:tc>
          <w:tcPr/>
          <w:p>
            <w:pPr>
              <w:pStyle w:val="Compact"/>
              <w:jc w:val="left"/>
            </w:pPr>
            <w:r>
              <w:t xml:space="preserve">Description</w:t>
            </w:r>
          </w:p>
        </w:tc>
        <w:tc>
          <w:tcPr/>
          <w:p>
            <w:pPr>
              <w:pStyle w:val="Compact"/>
              <w:jc w:val="left"/>
            </w:pPr>
            <w:r>
              <w:t xml:space="preserve">Emissions (kg CO2e)</w:t>
            </w:r>
          </w:p>
        </w:tc>
        <w:tc>
          <w:tcPr/>
          <w:p>
            <w:pPr>
              <w:pStyle w:val="Compact"/>
              <w:jc w:val="left"/>
            </w:pPr>
            <w:r>
              <w:t xml:space="preserve">Percentage (%)</w:t>
            </w:r>
          </w:p>
        </w:tc>
      </w:tr>
      <w:tr>
        <w:tc>
          <w:tcPr/>
          <w:p>
            <w:pPr>
              <w:pStyle w:val="Compact"/>
              <w:jc w:val="left"/>
            </w:pPr>
            <w:r>
              <w:t xml:space="preserve">Scope 1</w:t>
            </w:r>
          </w:p>
        </w:tc>
        <w:tc>
          <w:tcPr/>
          <w:p>
            <w:pPr>
              <w:pStyle w:val="Compact"/>
              <w:jc w:val="left"/>
            </w:pPr>
            <w:r>
              <w:t xml:space="preserve">Direct Emissions (from owned/controlled sources)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Indirect Emissions (from purchased electricity for production)</w:t>
            </w:r>
          </w:p>
        </w:tc>
        <w:tc>
          <w:tcPr/>
          <w:p>
            <w:pPr>
              <w:pStyle w:val="Compact"/>
              <w:jc w:val="left"/>
            </w:pPr>
            <w:r>
              <w:t xml:space="preserve">1.10</w:t>
            </w:r>
          </w:p>
        </w:tc>
        <w:tc>
          <w:tcPr/>
          <w:p>
            <w:pPr>
              <w:pStyle w:val="Compact"/>
              <w:jc w:val="left"/>
            </w:pPr>
            <w:r>
              <w:t xml:space="preserve">3.12%</w:t>
            </w:r>
          </w:p>
        </w:tc>
      </w:tr>
      <w:tr>
        <w:tc>
          <w:tcPr/>
          <w:p>
            <w:pPr>
              <w:pStyle w:val="Compact"/>
              <w:jc w:val="left"/>
            </w:pPr>
            <w:r>
              <w:t xml:space="preserve">Scope 3 (Category 1)</w:t>
            </w:r>
          </w:p>
        </w:tc>
        <w:tc>
          <w:tcPr/>
          <w:p>
            <w:pPr>
              <w:pStyle w:val="Compact"/>
              <w:jc w:val="left"/>
            </w:pPr>
            <w:r>
              <w:t xml:space="preserve">Purchased Goods and Services (Materials)</w:t>
            </w:r>
          </w:p>
        </w:tc>
        <w:tc>
          <w:tcPr/>
          <w:p>
            <w:pPr>
              <w:pStyle w:val="Compact"/>
              <w:jc w:val="left"/>
            </w:pPr>
            <w:r>
              <w:t xml:space="preserve">10.36</w:t>
            </w:r>
          </w:p>
        </w:tc>
        <w:tc>
          <w:tcPr/>
          <w:p>
            <w:pPr>
              <w:pStyle w:val="Compact"/>
              <w:jc w:val="left"/>
            </w:pPr>
            <w:r>
              <w:t xml:space="preserve">29.38%</w:t>
            </w:r>
          </w:p>
        </w:tc>
      </w:tr>
      <w:tr>
        <w:tc>
          <w:tcPr/>
          <w:p>
            <w:pPr>
              <w:pStyle w:val="Compact"/>
              <w:jc w:val="left"/>
            </w:pPr>
            <w:r>
              <w:t xml:space="preserve">Scope 3 (Category 4)</w:t>
            </w:r>
          </w:p>
        </w:tc>
        <w:tc>
          <w:tcPr/>
          <w:p>
            <w:pPr>
              <w:pStyle w:val="Compact"/>
              <w:jc w:val="left"/>
            </w:pPr>
            <w:r>
              <w:t xml:space="preserve">Upstream Transportation and Distribution</w:t>
            </w:r>
          </w:p>
        </w:tc>
        <w:tc>
          <w:tcPr/>
          <w:p>
            <w:pPr>
              <w:pStyle w:val="Compact"/>
              <w:jc w:val="left"/>
            </w:pPr>
            <w:r>
              <w:t xml:space="preserve">0.345</w:t>
            </w:r>
          </w:p>
        </w:tc>
        <w:tc>
          <w:tcPr/>
          <w:p>
            <w:pPr>
              <w:pStyle w:val="Compact"/>
              <w:jc w:val="left"/>
            </w:pPr>
            <w:r>
              <w:t xml:space="preserve">0.98%</w:t>
            </w:r>
          </w:p>
        </w:tc>
      </w:tr>
      <w:tr>
        <w:tc>
          <w:tcPr/>
          <w:p>
            <w:pPr>
              <w:pStyle w:val="Compact"/>
              <w:jc w:val="left"/>
            </w:pPr>
            <w:r>
              <w:t xml:space="preserve">Scope 3 (Category 9)</w:t>
            </w:r>
          </w:p>
        </w:tc>
        <w:tc>
          <w:tcPr/>
          <w:p>
            <w:pPr>
              <w:pStyle w:val="Compact"/>
              <w:jc w:val="left"/>
            </w:pPr>
            <w:r>
              <w:t xml:space="preserve">Downstream Transportation and Distribution</w:t>
            </w:r>
          </w:p>
        </w:tc>
        <w:tc>
          <w:tcPr/>
          <w:p>
            <w:pPr>
              <w:pStyle w:val="Compact"/>
              <w:jc w:val="left"/>
            </w:pPr>
            <w:r>
              <w:t xml:space="preserve">0.538</w:t>
            </w:r>
          </w:p>
        </w:tc>
        <w:tc>
          <w:tcPr/>
          <w:p>
            <w:pPr>
              <w:pStyle w:val="Compact"/>
              <w:jc w:val="left"/>
            </w:pPr>
            <w:r>
              <w:t xml:space="preserve">1.53%</w:t>
            </w:r>
          </w:p>
        </w:tc>
      </w:tr>
      <w:tr>
        <w:tc>
          <w:tcPr/>
          <w:p>
            <w:pPr>
              <w:pStyle w:val="Compact"/>
              <w:jc w:val="left"/>
            </w:pPr>
            <w:r>
              <w:t xml:space="preserve">Scope 3 (Category 11)</w:t>
            </w:r>
          </w:p>
        </w:tc>
        <w:tc>
          <w:tcPr/>
          <w:p>
            <w:pPr>
              <w:pStyle w:val="Compact"/>
              <w:jc w:val="left"/>
            </w:pPr>
            <w:r>
              <w:t xml:space="preserve">Use of Sold Products</w:t>
            </w:r>
          </w:p>
        </w:tc>
        <w:tc>
          <w:tcPr/>
          <w:p>
            <w:pPr>
              <w:pStyle w:val="Compact"/>
              <w:jc w:val="left"/>
            </w:pPr>
            <w:r>
              <w:t xml:space="preserve">31.50</w:t>
            </w:r>
          </w:p>
        </w:tc>
        <w:tc>
          <w:tcPr/>
          <w:p>
            <w:pPr>
              <w:pStyle w:val="Compact"/>
              <w:jc w:val="left"/>
            </w:pPr>
            <w:r>
              <w:t xml:space="preserve">89.33%</w:t>
            </w:r>
          </w:p>
        </w:tc>
      </w:tr>
      <w:tr>
        <w:tc>
          <w:tcPr/>
          <w:p>
            <w:pPr>
              <w:pStyle w:val="Compact"/>
              <w:jc w:val="left"/>
            </w:pPr>
            <w:r>
              <w:t xml:space="preserve">Scope 3 (Category 12)</w:t>
            </w:r>
          </w:p>
        </w:tc>
        <w:tc>
          <w:tcPr/>
          <w:p>
            <w:pPr>
              <w:pStyle w:val="Compact"/>
              <w:jc w:val="left"/>
            </w:pPr>
            <w:r>
              <w:t xml:space="preserve">End-of-Life Treatment of Sold Products</w:t>
            </w:r>
          </w:p>
        </w:tc>
        <w:tc>
          <w:tcPr/>
          <w:p>
            <w:pPr>
              <w:pStyle w:val="Compact"/>
              <w:jc w:val="left"/>
            </w:pPr>
            <w:r>
              <w:t xml:space="preserve">0.506</w:t>
            </w:r>
          </w:p>
        </w:tc>
        <w:tc>
          <w:tcPr/>
          <w:p>
            <w:pPr>
              <w:pStyle w:val="Compact"/>
              <w:jc w:val="left"/>
            </w:pPr>
            <w:r>
              <w:t xml:space="preserve">1.44%</w:t>
            </w:r>
          </w:p>
        </w:tc>
      </w:tr>
      <w:tr>
        <w:tc>
          <w:tcPr>
            <w:gridSpan w:val="2"/>
          </w:tcPr>
          <w:p>
            <w:pPr>
              <w:pStyle w:val="Compact"/>
              <w:jc w:val="left"/>
            </w:pPr>
            <w:r>
              <w:rPr>
                <w:bCs/>
                <w:b/>
              </w:rPr>
              <w:t xml:space="preserve">Total Product Carbon Footprint (1.0 unit of qlgjpmlgwt)</w:t>
            </w:r>
          </w:p>
        </w:tc>
        <w:tc>
          <w:tcPr/>
          <w:p>
            <w:pPr>
              <w:pStyle w:val="Compact"/>
              <w:jc w:val="left"/>
            </w:pPr>
            <w:r>
              <w:rPr>
                <w:bCs/>
                <w:b/>
              </w:rPr>
              <w:t xml:space="preserve">35.26 kg CO2e</w:t>
            </w:r>
          </w:p>
        </w:tc>
        <w:tc>
          <w:tcPr/>
          <w:p>
            <w:pPr>
              <w:pStyle w:val="Compact"/>
              <w:jc w:val="left"/>
            </w:pPr>
            <w:r>
              <w:rPr>
                <w:bCs/>
                <w:b/>
              </w:rPr>
              <w:t xml:space="preserve">100.00%</w:t>
            </w:r>
          </w:p>
        </w:tc>
      </w:tr>
    </w:tbl>
    <w:bookmarkEnd w:id="42"/>
    <w:bookmarkStart w:id="43" w:name="hotspots-and-reliability"/>
    <w:p>
      <w:pPr>
        <w:pStyle w:val="Heading3"/>
      </w:pPr>
      <w:r>
        <w:t xml:space="preserve">5.2. Hotspots and Reliability</w:t>
      </w:r>
    </w:p>
    <w:p>
      <w:pPr>
        <w:pStyle w:val="FirstParagraph"/>
      </w:pPr>
      <w:r>
        <w:t xml:space="preserve">The analysis reveals that the most significant contributor to the product\'s carbon footprint is the</w:t>
      </w:r>
      <w:r>
        <w:t xml:space="preserve"> </w:t>
      </w:r>
      <w:r>
        <w:rPr>
          <w:bCs/>
          <w:b/>
        </w:rPr>
        <w:t xml:space="preserve">Use Phase (Scope 3, Category 11)</w:t>
      </w:r>
      <w:r>
        <w:t xml:space="preserve">, accounting for approximately 89.33% of the total emissions. This highlights the substantial impact of energy consumption during the product\'s lifespan. The second major hotspot is</w:t>
      </w:r>
      <w:r>
        <w:t xml:space="preserve"> </w:t>
      </w:r>
      <w:r>
        <w:rPr>
          <w:bCs/>
          <w:b/>
        </w:rPr>
        <w:t xml:space="preserve">Purchased Goods and Services (Scope 3, Category 1)</w:t>
      </w:r>
      <w:r>
        <w:t xml:space="preserve">, primarily driven by the raw materials, contributing 29.38%.</w:t>
      </w:r>
    </w:p>
    <w:p>
      <w:pPr>
        <w:pStyle w:val="BodyText"/>
      </w:pPr>
      <w:r>
        <w:t xml:space="preserve">The reliability of this report is dependent on the accuracy of the provided parameters and the chosen emission factors. While industry-standard factors have been utilized, these are generalized and may not perfectly reflect specific supplier data. The hypothetical nature of some input parameters (e.g., transport distances, energy consumption in use) means the results provide a robust estimate for strategic decision-making rather than precise, auditable figures without primary data collection from all value chain partners.</w:t>
      </w:r>
    </w:p>
    <w:bookmarkEnd w:id="43"/>
    <w:bookmarkStart w:id="44" w:name="ghg-protocol-adherence-and-2026-updates"/>
    <w:p>
      <w:pPr>
        <w:pStyle w:val="Heading3"/>
      </w:pPr>
      <w:r>
        <w:t xml:space="preserve">5.3. GHG Protocol Adherence and 2026 Updates</w:t>
      </w:r>
    </w:p>
    <w:p>
      <w:pPr>
        <w:pStyle w:val="FirstParagraph"/>
      </w:pPr>
      <w:r>
        <w:t xml:space="preserve">This PCF analysis is developed in strict accordance with the GHG Protocol Corporate Accounting and Reporting Standard and the Product Standard.</w:t>
      </w:r>
    </w:p>
    <w:p>
      <w:pPr>
        <w:numPr>
          <w:ilvl w:val="0"/>
          <w:numId w:val="1019"/>
        </w:numPr>
        <w:pStyle w:val="Compact"/>
      </w:pPr>
      <w:r>
        <w:rPr>
          <w:bCs/>
          <w:b/>
        </w:rPr>
        <w:t xml:space="preserve">2026 LSR Update:</w:t>
      </w:r>
      <w:r>
        <w:t xml:space="preserve"> </w:t>
      </w:r>
      <w:r>
        <w:t xml:space="preserve">The Land Sector and Removals (LSR) Standard, effective January 1, 2027, is recognized for its comprehensive guidance on quantifying, reporting, and tracking land emissions and CO₂ removals. While the product qlgjpmlgwt itself may not have direct land-use impacts, this standard is acknowledged for its relevance to the broader corporate GHG inventory of zveedsxify, especially if its supply chain involves land-intensive activities. The accompanying Guidance document, expected in Q2 2026, will provide further practical direction.</w:t>
      </w:r>
    </w:p>
    <w:p>
      <w:pPr>
        <w:numPr>
          <w:ilvl w:val="0"/>
          <w:numId w:val="1019"/>
        </w:numPr>
        <w:pStyle w:val="Compact"/>
      </w:pPr>
      <w:r>
        <w:rPr>
          <w:bCs/>
          <w:b/>
        </w:rPr>
        <w:t xml:space="preserve">Scope 3 Compliance (95% Coverage):</w:t>
      </w:r>
      <w:r>
        <w:t xml:space="preserve"> </w:t>
      </w:r>
      <w:r>
        <w:t xml:space="preserve">As per the 2026 GHG Protocol revisions, companies are mandated to account for at least 95% of their total relevant Scope 3 emissions to claim conformance. This report aims to encompass all significant Scope 3 categories relevant to qlgjpmlgwt, including purchased goods, transport, use, and end-of-life, striving for comprehensive coverage. Future primary data collection from suppliers will be crucial to meet the enhanced data disaggregation and completeness requirements.</w:t>
      </w:r>
    </w:p>
    <w:p>
      <w:r>
        <w:pict>
          <v:rect style="width:0;height:1.5pt" o:hralign="center" o:hrstd="t" o:hr="t"/>
        </w:pict>
      </w:r>
    </w:p>
    <w:bookmarkEnd w:id="44"/>
    <w:bookmarkEnd w:id="45"/>
    <w:bookmarkStart w:id="46" w:name="recommendations-for-emission-reduction"/>
    <w:p>
      <w:pPr>
        <w:pStyle w:val="Heading2"/>
      </w:pPr>
      <w:r>
        <w:t xml:space="preserve">6. Recommendations for Emission Reduction</w:t>
      </w:r>
    </w:p>
    <w:p>
      <w:pPr>
        <w:pStyle w:val="FirstParagraph"/>
      </w:pPr>
      <w:r>
        <w:t xml:space="preserve">Based on the identified hotspots, zveedsxify should focus its decarbonization efforts on:</w:t>
      </w:r>
    </w:p>
    <w:p>
      <w:pPr>
        <w:numPr>
          <w:ilvl w:val="0"/>
          <w:numId w:val="1020"/>
        </w:numPr>
        <w:pStyle w:val="Compact"/>
      </w:pPr>
      <w:r>
        <w:rPr>
          <w:bCs/>
          <w:b/>
        </w:rPr>
        <w:t xml:space="preserve">Optimizing Product Use Phase:</w:t>
      </w:r>
      <w:r>
        <w:t xml:space="preserve"> </w:t>
      </w:r>
      <w:r>
        <w:t xml:space="preserve">Invest in R&amp;D to enhance energy efficiency and extend product lifespan, directly reducing the largest portion of the PCF. This could include low-power modes, smarter energy management, or designing for less frequent usage if applicable.</w:t>
      </w:r>
    </w:p>
    <w:p>
      <w:pPr>
        <w:numPr>
          <w:ilvl w:val="0"/>
          <w:numId w:val="1020"/>
        </w:numPr>
        <w:pStyle w:val="Compact"/>
      </w:pPr>
      <w:r>
        <w:rPr>
          <w:bCs/>
          <w:b/>
        </w:rPr>
        <w:t xml:space="preserve">Sustainable Material Sourcing:</w:t>
      </w:r>
      <w:r>
        <w:t xml:space="preserve"> </w:t>
      </w:r>
      <w:r>
        <w:t xml:space="preserve">Explore opportunities to integrate recycled content (e.g., recycled plastics, steel, aluminum) and bio-based materials into the BOM to reduce the upstream emissions associated with virgin material production. Engage with suppliers to obtain product-specific primary emission data.</w:t>
      </w:r>
    </w:p>
    <w:p>
      <w:pPr>
        <w:numPr>
          <w:ilvl w:val="0"/>
          <w:numId w:val="1020"/>
        </w:numPr>
        <w:pStyle w:val="Compact"/>
      </w:pPr>
      <w:r>
        <w:rPr>
          <w:bCs/>
          <w:b/>
        </w:rPr>
        <w:t xml:space="preserve">Circular Economy Initiatives:</w:t>
      </w:r>
      <w:r>
        <w:t xml:space="preserve"> </w:t>
      </w:r>
      <w:r>
        <w:t xml:space="preserve">Further develop and promote the existing robust take-back program. Explore refurbishment, remanufacturing, and advanced recycling technologies to minimize waste and maximize resource value at end-of-life.</w:t>
      </w:r>
    </w:p>
    <w:p>
      <w:pPr>
        <w:numPr>
          <w:ilvl w:val="0"/>
          <w:numId w:val="1020"/>
        </w:numPr>
        <w:pStyle w:val="Compact"/>
      </w:pPr>
      <w:r>
        <w:rPr>
          <w:bCs/>
          <w:b/>
        </w:rPr>
        <w:t xml:space="preserve">Renewable Energy Integration:</w:t>
      </w:r>
      <w:r>
        <w:t xml:space="preserve"> </w:t>
      </w:r>
      <w:r>
        <w:t xml:space="preserve">Continue to increase the percentage of renewable energy used in manufacturing operations beyond the current 75%, aiming for 100% renewable energy procurement.</w:t>
      </w:r>
    </w:p>
    <w:p>
      <w:pPr>
        <w:numPr>
          <w:ilvl w:val="0"/>
          <w:numId w:val="1020"/>
        </w:numPr>
        <w:pStyle w:val="Compact"/>
      </w:pPr>
      <w:r>
        <w:rPr>
          <w:bCs/>
          <w:b/>
        </w:rPr>
        <w:t xml:space="preserve">Logistics Optimization:</w:t>
      </w:r>
      <w:r>
        <w:t xml:space="preserve"> </w:t>
      </w:r>
      <w:r>
        <w:t xml:space="preserve">Seek out logistics providers with lower-emission fleets or explore alternative transport modes for both upstream and downstream distribution where feasible and economically viable.</w:t>
      </w:r>
    </w:p>
    <w:p>
      <w:r>
        <w:pict>
          <v:rect style="width:0;height:1.5pt" o:hralign="center" o:hrstd="t" o:hr="t"/>
        </w:pict>
      </w:r>
    </w:p>
    <w:bookmarkEnd w:id="46"/>
    <w:p>
      <w:pPr>
        <w:pStyle w:val="FirstParagraph"/>
      </w:pPr>
      <w:r>
        <w:t xml:space="preserve">Confidential - Internal Use Only | Page</w:t>
      </w:r>
      <w:r>
        <w:t xml:space="preserve"> </w:t>
      </w:r>
      <w:bookmarkStart w:id="47" w:name="page-num"/>
      <w:bookmarkEnd w:id="47"/>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qlgjpmlgwt</dc:title>
  <dc:creator/>
  <dc:description>Detailed Product Carbon Footprint (PCF) analysis report for qlgjpmlgwt, developed following GHG Protocol standards, for zveedsxify company by xdvfkysvvk, Senior Sustainability Consultant.</dc:description>
  <dc:language>en</dc:language>
  <cp:keywords/>
  <dcterms:created xsi:type="dcterms:W3CDTF">2026-05-30T16:52:39Z</dcterms:created>
  <dcterms:modified xsi:type="dcterms:W3CDTF">2026-05-30T16:52:39Z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