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qkqmlqjwhp</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qkqmlqjwhp</w:t>
      </w:r>
    </w:p>
    <w:p>
      <w:pPr>
        <w:pStyle w:val="BodyText"/>
      </w:pPr>
      <w:r>
        <w:rPr>
          <w:bCs/>
          <w:b/>
        </w:rPr>
        <w:t xml:space="preserve">Company Name:</w:t>
      </w:r>
      <w:r>
        <w:t xml:space="preserve"> </w:t>
      </w:r>
      <w:r>
        <w:t xml:space="preserve">lydjufpgnr</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lmzwpitwef</w:t>
      </w:r>
    </w:p>
    <w:p>
      <w:pPr>
        <w:pStyle w:val="BodyText"/>
      </w:pPr>
      <w:r>
        <w:t xml:space="preserve">This report is generated based on available data and industry standards. While efforts have been made to ensure accuracy, the results are indicative and subject to the quality and completeness of input data and the assumptions made.</w:t>
      </w:r>
    </w:p>
    <w:bookmarkEnd w:id="20"/>
    <w:bookmarkStart w:id="21" w:name="Xeb271737939c6c535acf4abbe92d040ae761722"/>
    <w:p>
      <w:pPr>
        <w:pStyle w:val="Heading1"/>
      </w:pPr>
      <w:r>
        <w:t xml:space="preserve">Product Carbon Footprint Analysis for qkqmlqjwhp</w:t>
      </w:r>
    </w:p>
    <w:p>
      <w:pPr>
        <w:pStyle w:val="FirstParagraph"/>
      </w:pPr>
      <w:r>
        <w:rPr>
          <w:bCs/>
          <w:b/>
        </w:rPr>
        <w:t xml:space="preserve">Generated Date:</w:t>
      </w:r>
      <w:r>
        <w:t xml:space="preserve"> </w:t>
      </w:r>
      <w:r>
        <w:t xml:space="preserve">June 4, 2026</w:t>
      </w:r>
    </w:p>
    <w:p>
      <w:pPr>
        <w:pStyle w:val="BodyText"/>
      </w:pPr>
      <w:r>
        <w:rPr>
          <w:bCs/>
          <w:b/>
        </w:rPr>
        <w:t xml:space="preserve">Company Name:</w:t>
      </w:r>
      <w:r>
        <w:t xml:space="preserve"> </w:t>
      </w:r>
      <w:r>
        <w:t xml:space="preserve">lydjufpgnr</w:t>
      </w:r>
    </w:p>
    <w:p>
      <w:pPr>
        <w:pStyle w:val="BodyText"/>
      </w:pPr>
      <w:r>
        <w:rPr>
          <w:bCs/>
          <w:b/>
        </w:rPr>
        <w:t xml:space="preserve">Senior Sustainability Consultant:</w:t>
      </w:r>
      <w:r>
        <w:t xml:space="preserve"> </w:t>
      </w:r>
      <w:r>
        <w:t xml:space="preserve">lmzwpitwef</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"qkqmlqjwhp" manufactured by "lydjufpgnr". The analysis was conducted by Senior Sustainability Consultant "lmzwpitwef" in accordance with the Greenhouse Gas (GHG) Protocol. The goal is to quantify the total greenhouse gas emissions associated with the product\'s lifecycle, from raw material acquisition to end-of-life, to identify emission hotspots and inform reduction strategies. The total carbon footprint for one functional unit of "qkqmlqjwhp" is calculated based on specific material, energy, transport, use phase, and end-of-life data provided.</w:t>
      </w:r>
    </w:p>
    <w:p>
      <w:r>
        <w:pict>
          <v:rect style="width:0;height:1.5pt" o:hralign="center" o:hrstd="t" o:hr="t"/>
        </w:pict>
      </w:r>
    </w:p>
    <w:bookmarkEnd w:id="22"/>
    <w:bookmarkStart w:id="27" w:name="methodology-and-scope-definition"/>
    <w:p>
      <w:pPr>
        <w:pStyle w:val="Heading2"/>
      </w:pPr>
      <w:r>
        <w:t xml:space="preserve">1. Methodology and Scope Definition</w:t>
      </w:r>
    </w:p>
    <w:p>
      <w:pPr>
        <w:pStyle w:val="FirstParagraph"/>
      </w:pPr>
      <w:r>
        <w:t xml:space="preserve">The Product Carbon Footprint (PCF) analysis adheres strictly to the GHG Protocol standards, providing a comprehensive assessment of greenhouse gas emissions across the product\'s lifecycle.</w:t>
      </w:r>
    </w:p>
    <w:bookmarkStart w:id="23" w:name="ghg-protocol-adherence-and-scopes"/>
    <w:p>
      <w:pPr>
        <w:pStyle w:val="Heading3"/>
      </w:pPr>
      <w:r>
        <w:t xml:space="preserve">1.1. GHG Protocol Adherence and Scopes</w:t>
      </w:r>
    </w:p>
    <w:p>
      <w:pPr>
        <w:pStyle w:val="FirstParagraph"/>
      </w:pPr>
      <w:r>
        <w:t xml:space="preserve">Emissions are categorized into three scopes as defined by the GHG Protocol:</w:t>
      </w:r>
    </w:p>
    <w:p>
      <w:pPr>
        <w:numPr>
          <w:ilvl w:val="0"/>
          <w:numId w:val="1001"/>
        </w:numPr>
        <w:pStyle w:val="Compact"/>
      </w:pPr>
      <w:r>
        <w:rPr>
          <w:bCs/>
          <w:b/>
        </w:rPr>
        <w:t xml:space="preserve">Scope 1: Direct Emissions.</w:t>
      </w:r>
      <w:r>
        <w:t xml:space="preserve"> </w:t>
      </w:r>
      <w:r>
        <w:t xml:space="preserve">Emissions from sources owned or controlled by the company (e.g., direct fuel combustion in manufacturing).</w:t>
      </w:r>
    </w:p>
    <w:p>
      <w:pPr>
        <w:numPr>
          <w:ilvl w:val="0"/>
          <w:numId w:val="1001"/>
        </w:numPr>
        <w:pStyle w:val="Compact"/>
      </w:pPr>
      <w:r>
        <w:rPr>
          <w:bCs/>
          <w:b/>
        </w:rPr>
        <w:t xml:space="preserve">Scope 2: Indirect Emissions from Purchased Energy.</w:t>
      </w:r>
      <w:r>
        <w:t xml:space="preserve"> </w:t>
      </w:r>
      <w:r>
        <w:t xml:space="preserve">Emissions from the generation of purchased electricity, heat, or steam consumed by the company.</w:t>
      </w:r>
    </w:p>
    <w:p>
      <w:pPr>
        <w:numPr>
          <w:ilvl w:val="0"/>
          <w:numId w:val="1001"/>
        </w:numPr>
        <w:pStyle w:val="Compact"/>
      </w:pPr>
      <w:r>
        <w:rPr>
          <w:bCs/>
          <w:b/>
        </w:rPr>
        <w:t xml:space="preserve">Scope 3: Other Indirect Emissions.</w:t>
      </w:r>
      <w:r>
        <w:t xml:space="preserve"> </w:t>
      </w:r>
      <w:r>
        <w:t xml:space="preserve">All other indirect emissions occurring in the value chain, both upstream (e.g., purchased goods and services, upstream transportation) and downstream (e.g., use of sold products, end-of-life treatment). For most companies, Scope 3 emissions represent the largest share of the total carbon footprint, often accounting for 70-90%.</w:t>
      </w:r>
    </w:p>
    <w:bookmarkEnd w:id="23"/>
    <w:bookmarkStart w:id="24" w:name="land-sector-and-removals-lsr-update"/>
    <w:p>
      <w:pPr>
        <w:pStyle w:val="Heading3"/>
      </w:pPr>
      <w:r>
        <w:t xml:space="preserve">1.2. 2026 Land Sector and Removals (LSR) Update</w:t>
      </w:r>
    </w:p>
    <w:p>
      <w:pPr>
        <w:pStyle w:val="FirstParagraph"/>
      </w:pPr>
      <w:r>
        <w:t xml:space="preserve">The Land Sector and Removals (LSR) Standard, released by the GHG Protocol on January 30, 2026, and effective January 1, 2027, provides requirements and guidance for quantifying, reporting, and tracking land emissions, CO₂ removals, and other key metrics. This standard is particularly relevant for entities with significant land sector activities or those choosing to report CO₂ removals. For this product-level analysis, direct land-use change and removals at the manufacturing stage are assumed to be negligible and are accounted for indirectly through material emission factors where applicable. The LSR Standard also covers emissions from biogenic products and products derived from technological CO₂ removals across the value chain. While this analysis acknowledges the LSR Standard, its direct impact on this specific product\'s manufacturing footprint (beyond embodied emissions in materials) is limited given the "factory_gate" system boundary and product type.</w:t>
      </w:r>
    </w:p>
    <w:bookmarkEnd w:id="24"/>
    <w:bookmarkStart w:id="25" w:name="scope-3-compliance"/>
    <w:p>
      <w:pPr>
        <w:pStyle w:val="Heading3"/>
      </w:pPr>
      <w:r>
        <w:t xml:space="preserve">1.3. Scope 3 Compliance</w:t>
      </w:r>
    </w:p>
    <w:p>
      <w:pPr>
        <w:pStyle w:val="FirstParagraph"/>
      </w:pPr>
      <w:r>
        <w:t xml:space="preserve">As per the 2026 requirements, this report aims for at least 95% coverage for Scope 3 reporting. This enhances completeness, consistency, transparency, and comparability of inventories by requiring the inclusion of all major Scope 3 emission sources by magnitude.</w:t>
      </w:r>
    </w:p>
    <w:bookmarkEnd w:id="25"/>
    <w:bookmarkStart w:id="26" w:name="defined-scope-parameters"/>
    <w:p>
      <w:pPr>
        <w:pStyle w:val="Heading3"/>
      </w:pPr>
      <w:r>
        <w:t xml:space="preserve">1.4. Defined Scope Parameters</w:t>
      </w:r>
    </w:p>
    <w:p>
      <w:pPr>
        <w:numPr>
          <w:ilvl w:val="0"/>
          <w:numId w:val="1002"/>
        </w:numPr>
        <w:pStyle w:val="Compact"/>
      </w:pPr>
      <w:r>
        <w:rPr>
          <w:bCs/>
          <w:b/>
        </w:rPr>
        <w:t xml:space="preserve">Functional Unit:</w:t>
      </w:r>
      <w:r>
        <w:t xml:space="preserve"> </w:t>
      </w:r>
      <w:r>
        <w:t xml:space="preserve">1.0 unit of qkqmlqjwhp.</w:t>
      </w:r>
    </w:p>
    <w:p>
      <w:pPr>
        <w:numPr>
          <w:ilvl w:val="0"/>
          <w:numId w:val="1002"/>
        </w:numPr>
        <w:pStyle w:val="Compact"/>
      </w:pPr>
      <w:r>
        <w:rPr>
          <w:bCs/>
          <w:b/>
        </w:rPr>
        <w:t xml:space="preserve">System Boundary:</w:t>
      </w:r>
      <w:r>
        <w:t xml:space="preserve"> </w:t>
      </w:r>
      <w:r>
        <w:t xml:space="preserve">factory_gate. This typically includes raw material acquisition, manufacturing, and transport to the factory gate. However, as instructed, this analysis extends to a "cradle-to-grave" approach, encompassing material acquisition, production, transport (factory-to-customer), use phase, and end-of-life.</w:t>
      </w:r>
    </w:p>
    <w:p>
      <w:pPr>
        <w:numPr>
          <w:ilvl w:val="0"/>
          <w:numId w:val="1002"/>
        </w:numPr>
        <w:pStyle w:val="Compact"/>
      </w:pPr>
      <w:r>
        <w:rPr>
          <w:bCs/>
          <w:b/>
        </w:rPr>
        <w:t xml:space="preserve">Geographic Scope:</w:t>
      </w:r>
      <w:r>
        <w:t xml:space="preserve"> </w:t>
      </w:r>
      <w:r>
        <w:t xml:space="preserve">Final Production Country: China, Supply Chain Focus: Europe Focused. This dictates the selection of relevant emission factors for energy and transportation.</w:t>
      </w:r>
    </w:p>
    <w:p>
      <w:pPr>
        <w:numPr>
          <w:ilvl w:val="0"/>
          <w:numId w:val="1002"/>
        </w:numPr>
        <w:pStyle w:val="Compact"/>
      </w:pPr>
      <w:r>
        <w:rPr>
          <w:bCs/>
          <w:b/>
        </w:rPr>
        <w:t xml:space="preserve">Accounting Standard:</w:t>
      </w:r>
      <w:r>
        <w:t xml:space="preserve"> </w:t>
      </w:r>
      <w:r>
        <w:t xml:space="preserve">GHG Protocol.</w:t>
      </w:r>
    </w:p>
    <w:p>
      <w:pPr>
        <w:numPr>
          <w:ilvl w:val="0"/>
          <w:numId w:val="1002"/>
        </w:numPr>
        <w:pStyle w:val="Compact"/>
      </w:pPr>
      <w:r>
        <w:rPr>
          <w:bCs/>
          <w:b/>
        </w:rPr>
        <w:t xml:space="preserve">Allocation:</w:t>
      </w:r>
      <w:r>
        <w:t xml:space="preserve"> </w:t>
      </w:r>
      <w:r>
        <w:t xml:space="preserve">For multi-product systems or shared processes, emissions are allocated based on mass where appropriate, ensuring no double-counting and full accounting within the defined system boundary. For this single product analysis, direct allocation is applied.</w:t>
      </w:r>
    </w:p>
    <w:p>
      <w:r>
        <w:pict>
          <v:rect style="width:0;height:1.5pt" o:hralign="center" o:hrstd="t" o:hr="t"/>
        </w:pict>
      </w:r>
    </w:p>
    <w:bookmarkEnd w:id="26"/>
    <w:bookmarkEnd w:id="27"/>
    <w:bookmarkStart w:id="29" w:name="X07cf0ea829f60a4f8fa47c00f72a11793fbe483"/>
    <w:p>
      <w:pPr>
        <w:pStyle w:val="Heading2"/>
      </w:pPr>
      <w:r>
        <w:t xml:space="preserve">2. Lifecycle Mapping (LCI Inventory Stages) &amp; 3. Data Collection</w:t>
      </w:r>
    </w:p>
    <w:p>
      <w:pPr>
        <w:pStyle w:val="FirstParagraph"/>
      </w:pPr>
      <w:r>
        <w:t xml:space="preserve">The lifecycle of qkqmlqjwhp is mapped to collect data across all relevant stages, including material acquisition, manufacturing, transportation, use, and end-of-life. Data collection focuses on primary data where available (e.g., detailed Bill of Materials, energy consumption) and industry-standard secondary data (emission factors) for gaps.</w:t>
      </w:r>
    </w:p>
    <w:bookmarkStart w:id="28" w:name="detailed-bill-of-materials-bom-yeuywtuv"/>
    <w:p>
      <w:pPr>
        <w:pStyle w:val="Heading3"/>
      </w:pPr>
      <w:r>
        <w:t xml:space="preserve">2.1. Detailed Bill of Materials (BOM): yeuywtuv</w:t>
      </w:r>
    </w:p>
    <w:p>
      <w:pPr>
        <w:pStyle w:val="FirstParagraph"/>
      </w:pPr>
      <w:r>
        <w:t xml:space="preserve">The provided Detailed Bill of Materials (BOM) for "qkqmlqjwhp" is crucial for high-accuracy material impact calculation. The \'Total Carbon\' values, derived from \'Qty\' and \'Emission Factor\' for each item, directly contribute to the upstream Scope 3 emissions. The total physical weight of the product (excluding packaging for now, as it might be handled separately for transport, but summing all physical components) is calculated for downstream transport and EoL considerations.</w:t>
      </w:r>
    </w:p>
    <w:p>
      <w:pPr>
        <w:pStyle w:val="BodyText"/>
      </w:pPr>
      <w:r>
        <w:t xml:space="preserve">\';</w:t>
      </w:r>
      <w:r>
        <w:t xml:space="preserve"> </w:t>
      </w:r>
      <w:r>
        <w:t xml:space="preserve">echo \'</w:t>
      </w:r>
    </w:p>
    <w:p>
      <w:pPr>
        <w:pStyle w:val="BodyText"/>
      </w:pPr>
      <w:r>
        <w:t xml:space="preserve">ID</w:t>
      </w:r>
    </w:p>
    <w:bookmarkEnd w:id="28"/>
    <w:bookmarkEnd w:id="29"/>
    <w:p>
      <w:pPr>
        <w:pStyle w:val="BodyText"/>
      </w:pPr>
      <w:r>
        <w:t xml:space="preserve">Description</w:t>
      </w:r>
    </w:p>
    <w:p>
      <w:pPr>
        <w:pStyle w:val="BodyText"/>
      </w:pPr>
      <w:r>
        <w:t xml:space="preserve">Category</w:t>
      </w:r>
    </w:p>
    <w:p>
      <w:pPr>
        <w:pStyle w:val="BodyText"/>
      </w:pPr>
      <w:r>
        <w:t xml:space="preserve">Process</w:t>
      </w:r>
    </w:p>
    <w:p>
      <w:pPr>
        <w:pStyle w:val="BodyText"/>
      </w:pPr>
      <w:r>
        <w:t xml:space="preserve">Qty</w:t>
      </w:r>
    </w:p>
    <w:p>
      <w:pPr>
        <w:pStyle w:val="BodyText"/>
      </w:pPr>
      <w:r>
        <w:t xml:space="preserve">Unit</w:t>
      </w:r>
    </w:p>
    <w:p>
      <w:pPr>
        <w:pStyle w:val="BodyText"/>
      </w:pPr>
      <w:r>
        <w:t xml:space="preserve">Emission Factor (kg CO₂e/unit)</w:t>
      </w:r>
    </w:p>
    <w:p>
      <w:pPr>
        <w:pStyle w:val="BodyText"/>
      </w:pPr>
      <w:r>
        <w:t xml:space="preserve">Total Carbon (kg CO₂e)</w:t>
      </w:r>
    </w:p>
    <w:p>
      <w:pPr>
        <w:pStyle w:val="BodyText"/>
      </w:pPr>
      <w:r>
        <w:t xml:space="preserve">\';</w:t>
      </w:r>
      <w:r>
        <w:t xml:space="preserve"> </w:t>
      </w:r>
      <w:r>
        <w:t xml:space="preserve">echo \'</w:t>
      </w:r>
    </w:p>
    <w:p>
      <w:pPr>
        <w:pStyle w:val="BodyText"/>
      </w:pPr>
      <w:r>
        <w:t xml:space="preserve">\';</w:t>
      </w:r>
      <w:r>
        <w:t xml:space="preserve"> </w:t>
      </w:r>
      <w:r>
        <w:t xml:space="preserve">foreach ($bom_items as $item_string) {</w:t>
      </w:r>
      <w:r>
        <w:t xml:space="preserve"> </w:t>
      </w:r>
      <w:r>
        <w:t xml:space="preserve">$item_data = explode(\',\', $item_string);</w:t>
      </w:r>
      <w:r>
        <w:t xml:space="preserve"> </w:t>
      </w:r>
      <w:r>
        <w:t xml:space="preserve">$id = trim($item_data);</w:t>
      </w:r>
      <w:r>
        <w:t xml:space="preserve"> </w:t>
      </w:r>
      <w:r>
        <w:t xml:space="preserve">$description = trim($item_data);</w:t>
      </w:r>
      <w:r>
        <w:t xml:space="preserve"> </w:t>
      </w:r>
      <w:r>
        <w:t xml:space="preserve">$category = trim($item_data);</w:t>
      </w:r>
      <w:r>
        <w:t xml:space="preserve"> </w:t>
      </w:r>
      <w:r>
        <w:t xml:space="preserve">$process = trim($item_data);</w:t>
      </w:r>
      <w:r>
        <w:t xml:space="preserve"> </w:t>
      </w:r>
      <w:r>
        <w:t xml:space="preserve">$qty = (float)trim($item_data);</w:t>
      </w:r>
      <w:r>
        <w:t xml:space="preserve"> </w:t>
      </w:r>
      <w:r>
        <w:t xml:space="preserve">$unit = trim($item_data);</w:t>
      </w:r>
      <w:r>
        <w:t xml:space="preserve"> </w:t>
      </w:r>
      <w:r>
        <w:t xml:space="preserve">$emission_factor = (float)trim($item_data);</w:t>
      </w:r>
      <w:r>
        <w:t xml:space="preserve"> </w:t>
      </w:r>
      <w:r>
        <w:t xml:space="preserve">$total_carbon = (float)trim($item_data);</w:t>
      </w:r>
      <w:r>
        <w:t xml:space="preserve"> </w:t>
      </w:r>
      <w:r>
        <w:t xml:space="preserve">$material_impact += $total_carbon;</w:t>
      </w:r>
      <w:r>
        <w:t xml:space="preserve"> </w:t>
      </w:r>
      <w:r>
        <w:t xml:space="preserve">// Calculate product weight from BOM items</w:t>
      </w:r>
      <w:r>
        <w:t xml:space="preserve"> </w:t>
      </w:r>
      <w:r>
        <w:t xml:space="preserve">if ($unit === \'kg\') {</w:t>
      </w:r>
      <w:r>
        <w:t xml:space="preserve"> </w:t>
      </w:r>
      <w:r>
        <w:t xml:space="preserve">if ($category !== \'Paper/Cardboard\') { // Assuming packaging is separate for product weight</w:t>
      </w:r>
      <w:r>
        <w:t xml:space="preserve"> </w:t>
      </w:r>
      <w:r>
        <w:t xml:space="preserve">$product_weight_kg += $qty;</w:t>
      </w:r>
      <w:r>
        <w:t xml:space="preserve"> </w:t>
      </w:r>
      <w:r>
        <w:t xml:space="preserve">} else {</w:t>
      </w:r>
      <w:r>
        <w:t xml:space="preserve"> </w:t>
      </w:r>
      <w:r>
        <w:t xml:space="preserve">$packaging_weight_kg += $qty;</w:t>
      </w:r>
      <w:r>
        <w:t xml:space="preserve"> </w:t>
      </w:r>
      <w:r>
        <w:t xml:space="preserve">}</w:t>
      </w:r>
      <w:r>
        <w:t xml:space="preserve"> </w:t>
      </w:r>
      <w:r>
        <w:t xml:space="preserve">} elseif ($unit === \'g\') {</w:t>
      </w:r>
      <w:r>
        <w:t xml:space="preserve"> </w:t>
      </w:r>
      <w:r>
        <w:t xml:space="preserve">if ($category !== \'Paper/Cardboard\') {</w:t>
      </w:r>
      <w:r>
        <w:t xml:space="preserve"> </w:t>
      </w:r>
      <w:r>
        <w:t xml:space="preserve">$product_weight_kg += $qty / 1000;</w:t>
      </w:r>
      <w:r>
        <w:t xml:space="preserve"> </w:t>
      </w:r>
      <w:r>
        <w:t xml:space="preserve">} else {</w:t>
      </w:r>
      <w:r>
        <w:t xml:space="preserve"> </w:t>
      </w:r>
      <w:r>
        <w:t xml:space="preserve">$packaging_weight_kg += $qty / 1000;</w:t>
      </w:r>
      <w:r>
        <w:t xml:space="preserve"> </w:t>
      </w:r>
      <w:r>
        <w:t xml:space="preserve">}</w:t>
      </w:r>
      <w:r>
        <w:t xml:space="preserve"> </w:t>
      </w:r>
      <w:r>
        <w:t xml:space="preserve">}</w:t>
      </w:r>
      <w:r>
        <w:t xml:space="preserve"> </w:t>
      </w:r>
      <w:r>
        <w:t xml:space="preserve">// For \'unit\' type, we assume it\'s a fixed component and its weight is reflected in its EF if not explicitly kg/g</w:t>
      </w:r>
      <w:r>
        <w:t xml:space="preserve"> </w:t>
      </w:r>
      <w:r>
        <w:t xml:space="preserve">// Or assume 1 \'unit\' has an implied average weight (e.g., 0.1 kg for PCB, if not explicitly kg) for downstream calcs, but since it\'s only 1 unit of product, we will sum the weights of items in kg/g.</w:t>
      </w:r>
      <w:r>
        <w:t xml:space="preserve"> </w:t>
      </w:r>
      <w:r>
        <w:t xml:space="preserve">echo \'</w:t>
      </w:r>
    </w:p>
    <w:p>
      <w:pPr>
        <w:pStyle w:val="BodyText"/>
      </w:pPr>
      <w:r>
        <w:t xml:space="preserve">\';</w:t>
      </w:r>
      <w:r>
        <w:t xml:space="preserve"> </w:t>
      </w:r>
      <w:r>
        <w:t xml:space="preserve">echo \'</w:t>
      </w:r>
    </w:p>
    <w:p>
      <w:pPr>
        <w:pStyle w:val="BodyText"/>
      </w:pPr>
      <w:r>
        <w:t xml:space="preserve">\' . htmlspecialchars($id) . \'</w:t>
      </w:r>
    </w:p>
    <w:p>
      <w:pPr>
        <w:pStyle w:val="BodyText"/>
      </w:pPr>
      <w:r>
        <w:t xml:space="preserve">\';</w:t>
      </w:r>
      <w:r>
        <w:t xml:space="preserve"> </w:t>
      </w:r>
      <w:r>
        <w:t xml:space="preserve">echo \'</w:t>
      </w:r>
    </w:p>
    <w:p>
      <w:pPr>
        <w:pStyle w:val="BodyText"/>
      </w:pPr>
      <w:r>
        <w:t xml:space="preserve">\' . htmlspecialchars($description) . \'</w:t>
      </w:r>
    </w:p>
    <w:p>
      <w:pPr>
        <w:pStyle w:val="BodyText"/>
      </w:pPr>
      <w:r>
        <w:t xml:space="preserve">\';</w:t>
      </w:r>
      <w:r>
        <w:t xml:space="preserve"> </w:t>
      </w:r>
      <w:r>
        <w:t xml:space="preserve">echo \'</w:t>
      </w:r>
    </w:p>
    <w:p>
      <w:pPr>
        <w:pStyle w:val="BodyText"/>
      </w:pPr>
      <w:r>
        <w:t xml:space="preserve">\' . htmlspecialchars($category) . \'</w:t>
      </w:r>
    </w:p>
    <w:p>
      <w:pPr>
        <w:pStyle w:val="BodyText"/>
      </w:pPr>
      <w:r>
        <w:t xml:space="preserve">\';</w:t>
      </w:r>
      <w:r>
        <w:t xml:space="preserve"> </w:t>
      </w:r>
      <w:r>
        <w:t xml:space="preserve">echo \'</w:t>
      </w:r>
    </w:p>
    <w:p>
      <w:pPr>
        <w:pStyle w:val="BodyText"/>
      </w:pPr>
      <w:r>
        <w:t xml:space="preserve">\' . htmlspecialchars($process) . \'</w:t>
      </w:r>
    </w:p>
    <w:p>
      <w:pPr>
        <w:pStyle w:val="BodyText"/>
      </w:pPr>
      <w:r>
        <w:t xml:space="preserve">\';</w:t>
      </w:r>
      <w:r>
        <w:t xml:space="preserve"> </w:t>
      </w:r>
      <w:r>
        <w:t xml:space="preserve">echo \'</w:t>
      </w:r>
    </w:p>
    <w:p>
      <w:pPr>
        <w:pStyle w:val="BodyText"/>
      </w:pPr>
      <w:r>
        <w:t xml:space="preserve">\' . htmlspecialchars($qty) . \'</w:t>
      </w:r>
    </w:p>
    <w:p>
      <w:pPr>
        <w:pStyle w:val="BodyText"/>
      </w:pPr>
      <w:r>
        <w:t xml:space="preserve">\';</w:t>
      </w:r>
      <w:r>
        <w:t xml:space="preserve"> </w:t>
      </w:r>
      <w:r>
        <w:t xml:space="preserve">echo \'</w:t>
      </w:r>
    </w:p>
    <w:p>
      <w:pPr>
        <w:pStyle w:val="BodyText"/>
      </w:pPr>
      <w:r>
        <w:t xml:space="preserve">\' . htmlspecialchars($unit) . \'</w:t>
      </w:r>
    </w:p>
    <w:p>
      <w:pPr>
        <w:pStyle w:val="BodyText"/>
      </w:pPr>
      <w:r>
        <w:t xml:space="preserve">\';</w:t>
      </w:r>
      <w:r>
        <w:t xml:space="preserve"> </w:t>
      </w:r>
      <w:r>
        <w:t xml:space="preserve">echo \'</w:t>
      </w:r>
    </w:p>
    <w:p>
      <w:pPr>
        <w:pStyle w:val="BodyText"/>
      </w:pPr>
      <w:r>
        <w:t xml:space="preserve">\' . htmlspecialchars($emission_factor) . \'</w:t>
      </w:r>
    </w:p>
    <w:p>
      <w:pPr>
        <w:pStyle w:val="BodyText"/>
      </w:pPr>
      <w:r>
        <w:t xml:space="preserve">\';</w:t>
      </w:r>
      <w:r>
        <w:t xml:space="preserve"> </w:t>
      </w:r>
      <w:r>
        <w:t xml:space="preserve">echo \'</w:t>
      </w:r>
    </w:p>
    <w:p>
      <w:pPr>
        <w:pStyle w:val="BodyText"/>
      </w:pPr>
      <w:r>
        <w:t xml:space="preserve">\' . htmlspecialchars(number_format($total_carbon, 2)) . \'</w:t>
      </w:r>
    </w:p>
    <w:p>
      <w:pPr>
        <w:pStyle w:val="BodyText"/>
      </w:pPr>
      <w:r>
        <w:t xml:space="preserve">\';</w:t>
      </w:r>
      <w:r>
        <w:t xml:space="preserve"> </w:t>
      </w:r>
      <w:r>
        <w:t xml:space="preserve">echo \'</w:t>
      </w:r>
    </w:p>
    <w:p>
      <w:pPr>
        <w:pStyle w:val="BodyText"/>
      </w:pPr>
      <w:r>
        <w:t xml:space="preserve">\';</w:t>
      </w:r>
      <w:r>
        <w:t xml:space="preserve"> </w:t>
      </w:r>
      <w:r>
        <w:t xml:space="preserve">}</w:t>
      </w:r>
      <w:r>
        <w:t xml:space="preserve"> </w:t>
      </w:r>
      <w:r>
        <w:t xml:space="preserve">echo \'</w:t>
      </w:r>
    </w:p>
    <w:p>
      <w:pPr>
        <w:pStyle w:val="BodyText"/>
      </w:pPr>
      <w:r>
        <w:t xml:space="preserve">Total Material Carbon Impact</w:t>
      </w:r>
    </w:p>
    <w:p>
      <w:pPr>
        <w:pStyle w:val="BodyText"/>
      </w:pPr>
      <w:r>
        <w:t xml:space="preserve">\' . number_format($material_impact, 2) . \' kg CO₂e</w:t>
      </w:r>
    </w:p>
    <w:p>
      <w:pPr>
        <w:pStyle w:val="BodyText"/>
      </w:pPr>
      <w:r>
        <w:t xml:space="preserve">\';</w:t>
      </w:r>
      <w:r>
        <w:t xml:space="preserve"> </w:t>
      </w:r>
      <w:r>
        <w:t xml:space="preserve">echo \'</w:t>
      </w:r>
    </w:p>
    <w:p>
      <w:pPr>
        <w:pStyle w:val="BodyText"/>
      </w:pPr>
      <w:r>
        <w:t xml:space="preserve">\';</w:t>
      </w:r>
      <w:r>
        <w:t xml:space="preserve"> </w:t>
      </w:r>
      <w:r>
        <w:t xml:space="preserve">$total_product_weight_kg = $product_weight_kg + $packaging_weight_kg; // For overall transport weight</w:t>
      </w:r>
      <w:r>
        <w:t xml:space="preserve"> </w:t>
      </w:r>
      <w:r>
        <w:t xml:space="preserve">?&gt;</w:t>
      </w:r>
    </w:p>
    <w:bookmarkStart w:id="30" w:name="energy-inputs-production-phase"/>
    <w:p>
      <w:pPr>
        <w:pStyle w:val="Heading3"/>
      </w:pPr>
      <w:r>
        <w:t xml:space="preserve">2.2. Energy Inputs (Production Phase)</w:t>
      </w:r>
    </w:p>
    <w:p>
      <w:pPr>
        <w:numPr>
          <w:ilvl w:val="0"/>
          <w:numId w:val="1003"/>
        </w:numPr>
        <w:pStyle w:val="Compact"/>
      </w:pPr>
      <w:r>
        <w:rPr>
          <w:bCs/>
          <w:b/>
        </w:rPr>
        <w:t xml:space="preserve">Renewable Energy Usage:</w:t>
      </w:r>
      <w:r>
        <w:t xml:space="preserve"> </w:t>
      </w:r>
      <w:r>
        <w:t xml:space="preserve">fuxkgglggs% (e.g., 60%)</w:t>
      </w:r>
    </w:p>
    <w:p>
      <w:pPr>
        <w:numPr>
          <w:ilvl w:val="0"/>
          <w:numId w:val="1003"/>
        </w:numPr>
        <w:pStyle w:val="Compact"/>
      </w:pPr>
      <w:r>
        <w:rPr>
          <w:bCs/>
          <w:b/>
        </w:rPr>
        <w:t xml:space="preserve">Energy Intensity (kWh/unit):</w:t>
      </w:r>
      <w:r>
        <w:t xml:space="preserve"> </w:t>
      </w:r>
      <w:r>
        <w:t xml:space="preserve">qpmnorzxzq (e.g., 12 kWh/unit)</w:t>
      </w:r>
    </w:p>
    <w:p>
      <w:pPr>
        <w:numPr>
          <w:ilvl w:val="0"/>
          <w:numId w:val="1003"/>
        </w:numPr>
        <w:pStyle w:val="Compact"/>
      </w:pPr>
      <w:r>
        <w:rPr>
          <w:bCs/>
          <w:b/>
        </w:rPr>
        <w:t xml:space="preserve">Geographic Scope:</w:t>
      </w:r>
      <w:r>
        <w:t xml:space="preserve"> </w:t>
      </w:r>
      <w:r>
        <w:t xml:space="preserve">Final Production Country: China.</w:t>
      </w:r>
    </w:p>
    <w:p>
      <w:pPr>
        <w:pStyle w:val="FirstParagraph"/>
      </w:pPr>
      <w:r>
        <w:t xml:space="preserve">The energy mix for electricity consumed during production in China will determine the emissions. Illustrative Emission Factor for China\'s electricity grid mix is assumed at 0.5568 kg CO₂e/kWh based on official MEE data from 2021.</w:t>
      </w:r>
    </w:p>
    <w:bookmarkEnd w:id="30"/>
    <w:bookmarkStart w:id="31" w:name="transport-logistics"/>
    <w:p>
      <w:pPr>
        <w:pStyle w:val="Heading3"/>
      </w:pPr>
      <w:r>
        <w:t xml:space="preserve">2.3. Transport Logistics</w:t>
      </w:r>
    </w:p>
    <w:p>
      <w:pPr>
        <w:numPr>
          <w:ilvl w:val="0"/>
          <w:numId w:val="1004"/>
        </w:numPr>
        <w:pStyle w:val="Compact"/>
      </w:pPr>
      <w:r>
        <w:rPr>
          <w:bCs/>
          <w:b/>
        </w:rPr>
        <w:t xml:space="preserve">Transport Mode (Main):</w:t>
      </w:r>
      <w:r>
        <w:t xml:space="preserve"> </w:t>
      </w:r>
      <w:r>
        <w:t xml:space="preserve">Select Mode (e.g., Ocean Freight)</w:t>
      </w:r>
    </w:p>
    <w:p>
      <w:pPr>
        <w:numPr>
          <w:ilvl w:val="0"/>
          <w:numId w:val="1004"/>
        </w:numPr>
        <w:pStyle w:val="Compact"/>
      </w:pPr>
      <w:r>
        <w:rPr>
          <w:bCs/>
          <w:b/>
        </w:rPr>
        <w:t xml:space="preserve">Transport Distance (Main):</w:t>
      </w:r>
      <w:r>
        <w:t xml:space="preserve"> </w:t>
      </w:r>
      <w:r>
        <w:t xml:space="preserve">tfzrjvgtjd km (e.g., 15000 km)</w:t>
      </w:r>
    </w:p>
    <w:p>
      <w:pPr>
        <w:numPr>
          <w:ilvl w:val="0"/>
          <w:numId w:val="1004"/>
        </w:numPr>
        <w:pStyle w:val="Compact"/>
      </w:pPr>
      <w:r>
        <w:rPr>
          <w:bCs/>
          <w:b/>
        </w:rPr>
        <w:t xml:space="preserve">Last-Mile Delivery Channel:</w:t>
      </w:r>
      <w:r>
        <w:t xml:space="preserve"> </w:t>
      </w:r>
      <w:r>
        <w:t xml:space="preserve">Delivery Type (e.g., Road (Light Commercial Vehicle))</w:t>
      </w:r>
    </w:p>
    <w:p>
      <w:pPr>
        <w:numPr>
          <w:ilvl w:val="0"/>
          <w:numId w:val="1004"/>
        </w:numPr>
        <w:pStyle w:val="Compact"/>
      </w:pPr>
      <w:r>
        <w:rPr>
          <w:bCs/>
          <w:b/>
        </w:rPr>
        <w:t xml:space="preserve">Product Weight for Transport:</w:t>
      </w:r>
    </w:p>
    <w:p>
      <w:pPr>
        <w:numPr>
          <w:ilvl w:val="0"/>
          <w:numId w:val="1000"/>
        </w:numPr>
        <w:pStyle w:val="Compact"/>
      </w:pPr>
      <w:r>
        <w:t xml:space="preserve">kg (derived from BOM, including packaging).</w:t>
      </w:r>
    </w:p>
    <w:p>
      <w:pPr>
        <w:pStyle w:val="FirstParagraph"/>
      </w:pPr>
      <w:r>
        <w:t xml:space="preserve">Illustrative Emission Factor for Ocean Freight (container ship) is assumed at 0.016142 kg CO₂e/tonne-km. Illustrative Emission Factor for Road (Light Commercial Vehicle) is assumed at 0.2 kg CO₂e/tonne-km (for last-mile, often higher due to lower load factors). A last-mile distance of 100 km is assumed for calculation purposes.</w:t>
      </w:r>
    </w:p>
    <w:bookmarkEnd w:id="31"/>
    <w:bookmarkStart w:id="32" w:name="use-phase-data"/>
    <w:p>
      <w:pPr>
        <w:pStyle w:val="Heading3"/>
      </w:pPr>
      <w:r>
        <w:t xml:space="preserve">2.4. Use Phase Data</w:t>
      </w:r>
    </w:p>
    <w:p>
      <w:pPr>
        <w:numPr>
          <w:ilvl w:val="0"/>
          <w:numId w:val="1005"/>
        </w:numPr>
        <w:pStyle w:val="Compact"/>
      </w:pPr>
      <w:r>
        <w:rPr>
          <w:bCs/>
          <w:b/>
        </w:rPr>
        <w:t xml:space="preserve">Product Lifespan:</w:t>
      </w:r>
      <w:r>
        <w:t xml:space="preserve"> </w:t>
      </w:r>
      <w:r>
        <w:t xml:space="preserve">sgdkmxvtni (e.g., 3 years)</w:t>
      </w:r>
    </w:p>
    <w:p>
      <w:pPr>
        <w:numPr>
          <w:ilvl w:val="0"/>
          <w:numId w:val="1005"/>
        </w:numPr>
        <w:pStyle w:val="Compact"/>
      </w:pPr>
      <w:r>
        <w:rPr>
          <w:bCs/>
          <w:b/>
        </w:rPr>
        <w:t xml:space="preserve">Energy Consumption in Use:</w:t>
      </w:r>
      <w:r>
        <w:t xml:space="preserve"> </w:t>
      </w:r>
      <w:r>
        <w:t xml:space="preserve">zzitzjflzz (e.g., 5 kWh/year)</w:t>
      </w:r>
    </w:p>
    <w:p>
      <w:pPr>
        <w:numPr>
          <w:ilvl w:val="0"/>
          <w:numId w:val="1005"/>
        </w:numPr>
        <w:pStyle w:val="Compact"/>
      </w:pPr>
      <w:r>
        <w:rPr>
          <w:bCs/>
          <w:b/>
        </w:rPr>
        <w:t xml:space="preserve">Geographic Scope:</w:t>
      </w:r>
      <w:r>
        <w:t xml:space="preserve"> </w:t>
      </w:r>
      <w:r>
        <w:t xml:space="preserve">Europe Focused.</w:t>
      </w:r>
    </w:p>
    <w:p>
      <w:pPr>
        <w:pStyle w:val="FirstParagraph"/>
      </w:pPr>
      <w:r>
        <w:t xml:space="preserve">Illustrative Emission Factor for European electricity grid mix is assumed at 0.254 kg CO₂e/kWh (EU-27 average for 2020) to represent the user\'s consumption.</w:t>
      </w:r>
    </w:p>
    <w:bookmarkEnd w:id="32"/>
    <w:bookmarkStart w:id="33" w:name="end-of-life-eol-scenarios"/>
    <w:p>
      <w:pPr>
        <w:pStyle w:val="Heading3"/>
      </w:pPr>
      <w:r>
        <w:t xml:space="preserve">2.5. End-of-Life (EoL) Scenarios</w:t>
      </w:r>
    </w:p>
    <w:p>
      <w:pPr>
        <w:numPr>
          <w:ilvl w:val="0"/>
          <w:numId w:val="1006"/>
        </w:numPr>
        <w:pStyle w:val="Compact"/>
      </w:pPr>
      <w:r>
        <w:rPr>
          <w:bCs/>
          <w:b/>
        </w:rPr>
        <w:t xml:space="preserve">Recyclability Percentage:</w:t>
      </w:r>
      <w:r>
        <w:t xml:space="preserve"> </w:t>
      </w:r>
      <w:r>
        <w:t xml:space="preserve">hevfllwhyv% (e.g., 70%)</w:t>
      </w:r>
    </w:p>
    <w:p>
      <w:pPr>
        <w:numPr>
          <w:ilvl w:val="0"/>
          <w:numId w:val="1006"/>
        </w:numPr>
        <w:pStyle w:val="Compact"/>
      </w:pPr>
      <w:r>
        <w:rPr>
          <w:bCs/>
          <w:b/>
        </w:rPr>
        <w:t xml:space="preserve">Circular/Take-back Programs:</w:t>
      </w:r>
      <w:r>
        <w:t xml:space="preserve"> </w:t>
      </w:r>
      <w:r>
        <w:t xml:space="preserve">wsimmlrgli (e.g., Product Take-back Scheme)</w:t>
      </w:r>
    </w:p>
    <w:p>
      <w:pPr>
        <w:pStyle w:val="FirstParagraph"/>
      </w:pPr>
      <w:r>
        <w:t xml:space="preserve">Illustrative Emission Factor for Landfill (general waste) is assumed at 0.467 kg CO₂e/kg. Illustrative Emission Factor for Incineration (plastics waste) is assumed at 2.76 kg CO₂e/kg. A recycling credit (avoided emissions) of -1.5 kg CO₂e/kg is applied for the recycled portion, representing the displacement of virgin material production.</w:t>
      </w:r>
    </w:p>
    <w:p>
      <w:r>
        <w:pict>
          <v:rect style="width:0;height:1.5pt" o:hralign="center" o:hrstd="t" o:hr="t"/>
        </w:pict>
      </w:r>
    </w:p>
    <w:bookmarkEnd w:id="33"/>
    <w:bookmarkStart w:id="43" w:name="Xf4d341b57cb8ff6426d37c7f1f667033fe77876"/>
    <w:p>
      <w:pPr>
        <w:pStyle w:val="Heading2"/>
      </w:pPr>
      <w:r>
        <w:t xml:space="preserve">4. Emission Calculation (Activity * Emission Factor = CO₂e)</w:t>
      </w:r>
    </w:p>
    <w:p>
      <w:pPr>
        <w:pStyle w:val="FirstParagraph"/>
      </w:pPr>
      <w:r>
        <w:t xml:space="preserve">This section details the calculation of emissions for each lifecycle stage, categorized by GHG Protocol scopes.</w:t>
      </w:r>
    </w:p>
    <w:bookmarkStart w:id="34" w:name="X1198c8af25dd1a2ebffa686809674f976343a37"/>
    <w:p>
      <w:pPr>
        <w:pStyle w:val="Heading3"/>
      </w:pPr>
      <w:r>
        <w:t xml:space="preserve">4.1. Material Acquisition &amp; Pre-processing (Scope 3 - Upstream)</w:t>
      </w:r>
    </w:p>
    <w:p>
      <w:pPr>
        <w:pStyle w:val="FirstParagraph"/>
      </w:pPr>
      <w:r>
        <w:t xml:space="preserve">This covers the emissions from raw material extraction, processing, and manufacturing of components up to their delivery to the product manufacturing facility. These emissions are directly taken from the \'Total Carbon\' column of the provided BOM.</w:t>
      </w:r>
    </w:p>
    <w:p>
      <w:pPr>
        <w:pStyle w:val="BodyText"/>
      </w:pPr>
      <w:r>
        <w:rPr>
          <w:bCs/>
          <w:b/>
        </w:rPr>
        <w:t xml:space="preserve">Total Material Carbon Impact:</w:t>
      </w:r>
      <w:r>
        <w:t xml:space="preserve"> </w:t>
      </w:r>
      <w:r>
        <w:t xml:space="preserve">kg CO₂e</w:t>
      </w:r>
    </w:p>
    <w:bookmarkEnd w:id="34"/>
    <w:bookmarkStart w:id="35" w:name="manufacturingproduction-scope-2"/>
    <w:p>
      <w:pPr>
        <w:pStyle w:val="Heading3"/>
      </w:pPr>
      <w:r>
        <w:t xml:space="preserve">4.2. Manufacturing/Production (Scope 2)</w:t>
      </w:r>
    </w:p>
    <w:p>
      <w:pPr>
        <w:pStyle w:val="FirstParagraph"/>
      </w:pPr>
      <w:r>
        <w:t xml:space="preserve">This phase covers the electricity consumption during the assembly and production processes in China. No Scope 1 emissions are assumed in this phase as direct fuel combustion data was not provided and is often negligible for individual product PCFs compared to other scopes.</w:t>
      </w:r>
    </w:p>
    <w:p>
      <w:pPr>
        <w:numPr>
          <w:ilvl w:val="0"/>
          <w:numId w:val="1007"/>
        </w:numPr>
        <w:pStyle w:val="Compact"/>
      </w:pPr>
      <w:r>
        <w:t xml:space="preserve">Total Energy Consumed:</w:t>
      </w:r>
    </w:p>
    <w:p>
      <w:pPr>
        <w:numPr>
          <w:ilvl w:val="0"/>
          <w:numId w:val="1000"/>
        </w:numPr>
        <w:pStyle w:val="Compact"/>
      </w:pPr>
      <w:r>
        <w:t xml:space="preserve">kWh/unit</w:t>
      </w:r>
    </w:p>
    <w:p>
      <w:pPr>
        <w:numPr>
          <w:ilvl w:val="0"/>
          <w:numId w:val="1007"/>
        </w:numPr>
        <w:pStyle w:val="Compact"/>
      </w:pPr>
      <w:r>
        <w:t xml:space="preserve">Renewable Energy Share:</w:t>
      </w:r>
    </w:p>
    <w:p>
      <w:pPr>
        <w:numPr>
          <w:ilvl w:val="0"/>
          <w:numId w:val="1000"/>
        </w:numPr>
        <w:pStyle w:val="Compact"/>
      </w:pPr>
      <w:r>
        <w:t xml:space="preserve">%</w:t>
      </w:r>
    </w:p>
    <w:p>
      <w:pPr>
        <w:numPr>
          <w:ilvl w:val="0"/>
          <w:numId w:val="1007"/>
        </w:numPr>
        <w:pStyle w:val="Compact"/>
      </w:pPr>
      <w:r>
        <w:t xml:space="preserve">Non-Renewable Energy:</w:t>
      </w:r>
    </w:p>
    <w:p>
      <w:pPr>
        <w:numPr>
          <w:ilvl w:val="0"/>
          <w:numId w:val="1000"/>
        </w:numPr>
        <w:pStyle w:val="Compact"/>
      </w:pPr>
      <w:r>
        <w:t xml:space="preserve">kWh/unit</w:t>
      </w:r>
    </w:p>
    <w:p>
      <w:pPr>
        <w:numPr>
          <w:ilvl w:val="0"/>
          <w:numId w:val="1007"/>
        </w:numPr>
        <w:pStyle w:val="Compact"/>
      </w:pPr>
      <w:r>
        <w:t xml:space="preserve">Emission Factor (China Grid):</w:t>
      </w:r>
    </w:p>
    <w:p>
      <w:pPr>
        <w:numPr>
          <w:ilvl w:val="0"/>
          <w:numId w:val="1000"/>
        </w:numPr>
        <w:pStyle w:val="Compact"/>
      </w:pPr>
      <w:r>
        <w:t xml:space="preserve">kg CO₂e/kWh</w:t>
      </w:r>
    </w:p>
    <w:p>
      <w:pPr>
        <w:numPr>
          <w:ilvl w:val="0"/>
          <w:numId w:val="1007"/>
        </w:numPr>
        <w:pStyle w:val="Compact"/>
      </w:pPr>
      <w:r>
        <w:rPr>
          <w:bCs/>
          <w:b/>
        </w:rPr>
        <w:t xml:space="preserve">Production Phase Emissions (Scope 2):</w:t>
      </w:r>
    </w:p>
    <w:p>
      <w:pPr>
        <w:numPr>
          <w:ilvl w:val="0"/>
          <w:numId w:val="1000"/>
        </w:numPr>
        <w:pStyle w:val="Compact"/>
      </w:pPr>
      <w:r>
        <w:t xml:space="preserve">kg CO₂e</w:t>
      </w:r>
    </w:p>
    <w:bookmarkEnd w:id="35"/>
    <w:bookmarkStart w:id="38" w:name="transport-scope-3---upstream-downstream"/>
    <w:p>
      <w:pPr>
        <w:pStyle w:val="Heading3"/>
      </w:pPr>
      <w:r>
        <w:t xml:space="preserve">4.3. Transport (Scope 3 - Upstream &amp; Downstream)</w:t>
      </w:r>
    </w:p>
    <w:p>
      <w:pPr>
        <w:pStyle w:val="FirstParagraph"/>
      </w:pPr>
      <w:r>
        <w:t xml:space="preserve">This includes transportation of finished goods from the manufacturing site (China) to the consumer in Europe, and last-mile delivery. Upstream transport of raw materials to the China factory is assumed to be embedded in the material emission factors. The total product weight including packaging ( kg or tonnes) is used.</w:t>
      </w:r>
    </w:p>
    <w:bookmarkStart w:id="36" w:name="main-transport-china-to-europe"/>
    <w:p>
      <w:pPr>
        <w:pStyle w:val="Heading4"/>
      </w:pPr>
      <w:r>
        <w:t xml:space="preserve">Main Transport (China to Europe)</w:t>
      </w:r>
    </w:p>
    <w:p>
      <w:pPr>
        <w:numPr>
          <w:ilvl w:val="0"/>
          <w:numId w:val="1008"/>
        </w:numPr>
        <w:pStyle w:val="Compact"/>
      </w:pPr>
      <w:r>
        <w:t xml:space="preserve">Mode:</w:t>
      </w:r>
    </w:p>
    <w:p>
      <w:pPr>
        <w:numPr>
          <w:ilvl w:val="0"/>
          <w:numId w:val="1008"/>
        </w:numPr>
        <w:pStyle w:val="Compact"/>
      </w:pPr>
      <w:r>
        <w:t xml:space="preserve">Distance:</w:t>
      </w:r>
    </w:p>
    <w:p>
      <w:pPr>
        <w:numPr>
          <w:ilvl w:val="0"/>
          <w:numId w:val="1000"/>
        </w:numPr>
        <w:pStyle w:val="Compact"/>
      </w:pPr>
      <w:r>
        <w:t xml:space="preserve">km</w:t>
      </w:r>
    </w:p>
    <w:p>
      <w:pPr>
        <w:numPr>
          <w:ilvl w:val="0"/>
          <w:numId w:val="1008"/>
        </w:numPr>
        <w:pStyle w:val="Compact"/>
      </w:pPr>
      <w:r>
        <w:t xml:space="preserve">Product Weight:</w:t>
      </w:r>
    </w:p>
    <w:p>
      <w:pPr>
        <w:numPr>
          <w:ilvl w:val="0"/>
          <w:numId w:val="1000"/>
        </w:numPr>
        <w:pStyle w:val="Compact"/>
      </w:pPr>
      <w:r>
        <w:t xml:space="preserve">tonnes</w:t>
      </w:r>
    </w:p>
    <w:p>
      <w:pPr>
        <w:numPr>
          <w:ilvl w:val="0"/>
          <w:numId w:val="1008"/>
        </w:numPr>
        <w:pStyle w:val="Compact"/>
      </w:pPr>
      <w:r>
        <w:t xml:space="preserve">Emission Factor:</w:t>
      </w:r>
    </w:p>
    <w:p>
      <w:pPr>
        <w:numPr>
          <w:ilvl w:val="0"/>
          <w:numId w:val="1000"/>
        </w:numPr>
        <w:pStyle w:val="Compact"/>
      </w:pPr>
      <w:r>
        <w:t xml:space="preserve">kg CO₂e/tonne-km</w:t>
      </w:r>
    </w:p>
    <w:p>
      <w:pPr>
        <w:numPr>
          <w:ilvl w:val="0"/>
          <w:numId w:val="1008"/>
        </w:numPr>
        <w:pStyle w:val="Compact"/>
      </w:pPr>
      <w:r>
        <w:t xml:space="preserve">Emissions:</w:t>
      </w:r>
    </w:p>
    <w:p>
      <w:pPr>
        <w:numPr>
          <w:ilvl w:val="0"/>
          <w:numId w:val="1000"/>
        </w:numPr>
        <w:pStyle w:val="Compact"/>
      </w:pPr>
      <w:r>
        <w:t xml:space="preserve">kg CO₂e</w:t>
      </w:r>
    </w:p>
    <w:bookmarkEnd w:id="36"/>
    <w:bookmarkStart w:id="37" w:name="last-mile-delivery-europe"/>
    <w:p>
      <w:pPr>
        <w:pStyle w:val="Heading4"/>
      </w:pPr>
      <w:r>
        <w:t xml:space="preserve">Last-Mile Delivery (Europe)</w:t>
      </w:r>
    </w:p>
    <w:p>
      <w:pPr>
        <w:numPr>
          <w:ilvl w:val="0"/>
          <w:numId w:val="1009"/>
        </w:numPr>
        <w:pStyle w:val="Compact"/>
      </w:pPr>
      <w:r>
        <w:t xml:space="preserve">Mode:</w:t>
      </w:r>
    </w:p>
    <w:p>
      <w:pPr>
        <w:numPr>
          <w:ilvl w:val="0"/>
          <w:numId w:val="1009"/>
        </w:numPr>
        <w:pStyle w:val="Compact"/>
      </w:pPr>
      <w:r>
        <w:t xml:space="preserve">Assumed Distance:</w:t>
      </w:r>
    </w:p>
    <w:p>
      <w:pPr>
        <w:numPr>
          <w:ilvl w:val="0"/>
          <w:numId w:val="1000"/>
        </w:numPr>
        <w:pStyle w:val="Compact"/>
      </w:pPr>
      <w:r>
        <w:t xml:space="preserve">km</w:t>
      </w:r>
    </w:p>
    <w:p>
      <w:pPr>
        <w:numPr>
          <w:ilvl w:val="0"/>
          <w:numId w:val="1009"/>
        </w:numPr>
        <w:pStyle w:val="Compact"/>
      </w:pPr>
      <w:r>
        <w:t xml:space="preserve">Product Weight:</w:t>
      </w:r>
    </w:p>
    <w:p>
      <w:pPr>
        <w:numPr>
          <w:ilvl w:val="0"/>
          <w:numId w:val="1000"/>
        </w:numPr>
        <w:pStyle w:val="Compact"/>
      </w:pPr>
      <w:r>
        <w:t xml:space="preserve">tonnes</w:t>
      </w:r>
    </w:p>
    <w:p>
      <w:pPr>
        <w:numPr>
          <w:ilvl w:val="0"/>
          <w:numId w:val="1009"/>
        </w:numPr>
        <w:pStyle w:val="Compact"/>
      </w:pPr>
      <w:r>
        <w:t xml:space="preserve">Emission Factor:</w:t>
      </w:r>
    </w:p>
    <w:p>
      <w:pPr>
        <w:numPr>
          <w:ilvl w:val="0"/>
          <w:numId w:val="1000"/>
        </w:numPr>
        <w:pStyle w:val="Compact"/>
      </w:pPr>
      <w:r>
        <w:t xml:space="preserve">kg CO₂e/tonne-km</w:t>
      </w:r>
    </w:p>
    <w:p>
      <w:pPr>
        <w:numPr>
          <w:ilvl w:val="0"/>
          <w:numId w:val="1009"/>
        </w:numPr>
        <w:pStyle w:val="Compact"/>
      </w:pPr>
      <w:r>
        <w:t xml:space="preserve">Emissions:</w:t>
      </w:r>
    </w:p>
    <w:p>
      <w:pPr>
        <w:numPr>
          <w:ilvl w:val="0"/>
          <w:numId w:val="1000"/>
        </w:numPr>
        <w:pStyle w:val="Compact"/>
      </w:pPr>
      <w:r>
        <w:t xml:space="preserve">kg CO₂e</w:t>
      </w:r>
    </w:p>
    <w:p>
      <w:pPr>
        <w:pStyle w:val="FirstParagraph"/>
      </w:pPr>
      <w:r>
        <w:rPr>
          <w:bCs/>
          <w:b/>
        </w:rPr>
        <w:t xml:space="preserve">Total Transport Emissions (Scope 3):</w:t>
      </w:r>
      <w:r>
        <w:t xml:space="preserve"> </w:t>
      </w:r>
      <w:r>
        <w:t xml:space="preserve">kg CO₂e</w:t>
      </w:r>
    </w:p>
    <w:bookmarkEnd w:id="37"/>
    <w:bookmarkEnd w:id="38"/>
    <w:bookmarkStart w:id="39" w:name="use-phase-scope-3---downstream"/>
    <w:p>
      <w:pPr>
        <w:pStyle w:val="Heading3"/>
      </w:pPr>
      <w:r>
        <w:t xml:space="preserve">4.4. Use Phase (Scope 3 - Downstream)</w:t>
      </w:r>
    </w:p>
    <w:p>
      <w:pPr>
        <w:pStyle w:val="FirstParagraph"/>
      </w:pPr>
      <w:r>
        <w:t xml:space="preserve">This covers the electricity consumed by the product during its lifespan by the end-user in Europe.</w:t>
      </w:r>
    </w:p>
    <w:p>
      <w:pPr>
        <w:numPr>
          <w:ilvl w:val="0"/>
          <w:numId w:val="1010"/>
        </w:numPr>
        <w:pStyle w:val="Compact"/>
      </w:pPr>
      <w:r>
        <w:t xml:space="preserve">Product Lifespan:</w:t>
      </w:r>
    </w:p>
    <w:p>
      <w:pPr>
        <w:numPr>
          <w:ilvl w:val="0"/>
          <w:numId w:val="1000"/>
        </w:numPr>
        <w:pStyle w:val="Compact"/>
      </w:pPr>
      <w:r>
        <w:t xml:space="preserve">years</w:t>
      </w:r>
    </w:p>
    <w:p>
      <w:pPr>
        <w:numPr>
          <w:ilvl w:val="0"/>
          <w:numId w:val="1010"/>
        </w:numPr>
        <w:pStyle w:val="Compact"/>
      </w:pPr>
      <w:r>
        <w:t xml:space="preserve">Energy Consumption:</w:t>
      </w:r>
    </w:p>
    <w:p>
      <w:pPr>
        <w:numPr>
          <w:ilvl w:val="0"/>
          <w:numId w:val="1000"/>
        </w:numPr>
        <w:pStyle w:val="Compact"/>
      </w:pPr>
      <w:r>
        <w:t xml:space="preserve">kWh/year</w:t>
      </w:r>
    </w:p>
    <w:p>
      <w:pPr>
        <w:numPr>
          <w:ilvl w:val="0"/>
          <w:numId w:val="1010"/>
        </w:numPr>
        <w:pStyle w:val="Compact"/>
      </w:pPr>
      <w:r>
        <w:t xml:space="preserve">Total Energy Consumed over Lifespan:</w:t>
      </w:r>
    </w:p>
    <w:p>
      <w:pPr>
        <w:numPr>
          <w:ilvl w:val="0"/>
          <w:numId w:val="1000"/>
        </w:numPr>
        <w:pStyle w:val="Compact"/>
      </w:pPr>
      <w:r>
        <w:t xml:space="preserve">kWh</w:t>
      </w:r>
    </w:p>
    <w:p>
      <w:pPr>
        <w:numPr>
          <w:ilvl w:val="0"/>
          <w:numId w:val="1010"/>
        </w:numPr>
        <w:pStyle w:val="Compact"/>
      </w:pPr>
      <w:r>
        <w:t xml:space="preserve">Emission Factor (Europe Grid):</w:t>
      </w:r>
    </w:p>
    <w:p>
      <w:pPr>
        <w:numPr>
          <w:ilvl w:val="0"/>
          <w:numId w:val="1000"/>
        </w:numPr>
        <w:pStyle w:val="Compact"/>
      </w:pPr>
      <w:r>
        <w:t xml:space="preserve">kg CO₂e/kWh</w:t>
      </w:r>
    </w:p>
    <w:p>
      <w:pPr>
        <w:numPr>
          <w:ilvl w:val="0"/>
          <w:numId w:val="1010"/>
        </w:numPr>
        <w:pStyle w:val="Compact"/>
      </w:pPr>
      <w:r>
        <w:rPr>
          <w:bCs/>
          <w:b/>
        </w:rPr>
        <w:t xml:space="preserve">Use Phase Emissions (Scope 3):</w:t>
      </w:r>
    </w:p>
    <w:p>
      <w:pPr>
        <w:numPr>
          <w:ilvl w:val="0"/>
          <w:numId w:val="1000"/>
        </w:numPr>
        <w:pStyle w:val="Compact"/>
      </w:pPr>
      <w:r>
        <w:t xml:space="preserve">kg CO₂e</w:t>
      </w:r>
    </w:p>
    <w:bookmarkEnd w:id="39"/>
    <w:bookmarkStart w:id="40" w:name="end-of-life-eol-scope-3---downstream"/>
    <w:p>
      <w:pPr>
        <w:pStyle w:val="Heading3"/>
      </w:pPr>
      <w:r>
        <w:t xml:space="preserve">4.5. End-of-Life (EoL) (Scope 3 - Downstream)</w:t>
      </w:r>
    </w:p>
    <w:p>
      <w:pPr>
        <w:pStyle w:val="FirstParagraph"/>
      </w:pPr>
      <w:r>
        <w:t xml:space="preserve">This includes emissions and avoided emissions (credits) associated with the disposal and recycling of the product at the end of its life.</w:t>
      </w:r>
    </w:p>
    <w:p>
      <w:pPr>
        <w:numPr>
          <w:ilvl w:val="0"/>
          <w:numId w:val="1011"/>
        </w:numPr>
        <w:pStyle w:val="Compact"/>
      </w:pPr>
      <w:r>
        <w:t xml:space="preserve">Product Weight at EoL:</w:t>
      </w:r>
    </w:p>
    <w:p>
      <w:pPr>
        <w:numPr>
          <w:ilvl w:val="0"/>
          <w:numId w:val="1000"/>
        </w:numPr>
        <w:pStyle w:val="Compact"/>
      </w:pPr>
      <w:r>
        <w:t xml:space="preserve">kg</w:t>
      </w:r>
    </w:p>
    <w:p>
      <w:pPr>
        <w:numPr>
          <w:ilvl w:val="0"/>
          <w:numId w:val="1011"/>
        </w:numPr>
        <w:pStyle w:val="Compact"/>
      </w:pPr>
      <w:r>
        <w:t xml:space="preserve">Recyclability:</w:t>
      </w:r>
    </w:p>
    <w:p>
      <w:pPr>
        <w:numPr>
          <w:ilvl w:val="0"/>
          <w:numId w:val="1000"/>
        </w:numPr>
        <w:pStyle w:val="Compact"/>
      </w:pPr>
      <w:r>
        <w:t xml:space="preserve">%</w:t>
      </w:r>
    </w:p>
    <w:p>
      <w:pPr>
        <w:numPr>
          <w:ilvl w:val="0"/>
          <w:numId w:val="1011"/>
        </w:numPr>
        <w:pStyle w:val="Compact"/>
      </w:pPr>
      <w:r>
        <w:t xml:space="preserve">Circular Programs:</w:t>
      </w:r>
    </w:p>
    <w:p>
      <w:pPr>
        <w:numPr>
          <w:ilvl w:val="0"/>
          <w:numId w:val="1011"/>
        </w:numPr>
        <w:pStyle w:val="Compact"/>
      </w:pPr>
      <w:r>
        <w:t xml:space="preserve">Disposed Portion:</w:t>
      </w:r>
    </w:p>
    <w:p>
      <w:pPr>
        <w:numPr>
          <w:ilvl w:val="0"/>
          <w:numId w:val="1000"/>
        </w:numPr>
        <w:pStyle w:val="Compact"/>
      </w:pPr>
      <w:r>
        <w:t xml:space="preserve">kg (assumed 50% landfill, 50% incineration)</w:t>
      </w:r>
    </w:p>
    <w:p>
      <w:pPr>
        <w:numPr>
          <w:ilvl w:val="0"/>
          <w:numId w:val="1011"/>
        </w:numPr>
        <w:pStyle w:val="Compact"/>
      </w:pPr>
      <w:r>
        <w:t xml:space="preserve">Recycled Portion:</w:t>
      </w:r>
    </w:p>
    <w:p>
      <w:pPr>
        <w:numPr>
          <w:ilvl w:val="0"/>
          <w:numId w:val="1000"/>
        </w:numPr>
        <w:pStyle w:val="Compact"/>
      </w:pPr>
      <w:r>
        <w:t xml:space="preserve">kg</w:t>
      </w:r>
    </w:p>
    <w:p>
      <w:pPr>
        <w:numPr>
          <w:ilvl w:val="0"/>
          <w:numId w:val="1011"/>
        </w:numPr>
        <w:pStyle w:val="Compact"/>
      </w:pPr>
      <w:r>
        <w:t xml:space="preserve">Landfill Emissions (illustrative):</w:t>
      </w:r>
    </w:p>
    <w:p>
      <w:pPr>
        <w:numPr>
          <w:ilvl w:val="0"/>
          <w:numId w:val="1000"/>
        </w:numPr>
        <w:pStyle w:val="Compact"/>
      </w:pPr>
      <w:r>
        <w:t xml:space="preserve">kg CO₂e</w:t>
      </w:r>
    </w:p>
    <w:p>
      <w:pPr>
        <w:numPr>
          <w:ilvl w:val="0"/>
          <w:numId w:val="1011"/>
        </w:numPr>
        <w:pStyle w:val="Compact"/>
      </w:pPr>
      <w:r>
        <w:t xml:space="preserve">Incineration Emissions (illustrative):</w:t>
      </w:r>
    </w:p>
    <w:p>
      <w:pPr>
        <w:numPr>
          <w:ilvl w:val="0"/>
          <w:numId w:val="1000"/>
        </w:numPr>
        <w:pStyle w:val="Compact"/>
      </w:pPr>
      <w:r>
        <w:t xml:space="preserve">kg CO₂e</w:t>
      </w:r>
    </w:p>
    <w:p>
      <w:pPr>
        <w:numPr>
          <w:ilvl w:val="0"/>
          <w:numId w:val="1011"/>
        </w:numPr>
        <w:pStyle w:val="Compact"/>
      </w:pPr>
      <w:r>
        <w:t xml:space="preserve">Recycling Credits (avoided emissions):</w:t>
      </w:r>
    </w:p>
    <w:p>
      <w:pPr>
        <w:numPr>
          <w:ilvl w:val="0"/>
          <w:numId w:val="1000"/>
        </w:numPr>
        <w:pStyle w:val="Compact"/>
      </w:pPr>
      <w:r>
        <w:t xml:space="preserve">kg CO₂e</w:t>
      </w:r>
    </w:p>
    <w:p>
      <w:pPr>
        <w:numPr>
          <w:ilvl w:val="0"/>
          <w:numId w:val="1011"/>
        </w:numPr>
        <w:pStyle w:val="Compact"/>
      </w:pPr>
      <w:r>
        <w:t xml:space="preserve">Additional Circular Program Credit:</w:t>
      </w:r>
    </w:p>
    <w:p>
      <w:pPr>
        <w:numPr>
          <w:ilvl w:val="0"/>
          <w:numId w:val="1000"/>
        </w:numPr>
        <w:pStyle w:val="Compact"/>
      </w:pPr>
      <w:r>
        <w:t xml:space="preserve">kg CO₂e</w:t>
      </w:r>
    </w:p>
    <w:p>
      <w:pPr>
        <w:numPr>
          <w:ilvl w:val="0"/>
          <w:numId w:val="1011"/>
        </w:numPr>
        <w:pStyle w:val="Compact"/>
      </w:pPr>
      <w:r>
        <w:rPr>
          <w:bCs/>
          <w:b/>
        </w:rPr>
        <w:t xml:space="preserve">End-of-Life Emissions (Scope 3):</w:t>
      </w:r>
    </w:p>
    <w:p>
      <w:pPr>
        <w:numPr>
          <w:ilvl w:val="0"/>
          <w:numId w:val="1000"/>
        </w:numPr>
        <w:pStyle w:val="Compact"/>
      </w:pPr>
      <w:r>
        <w:t xml:space="preserve">kg CO₂e</w:t>
      </w:r>
    </w:p>
    <w:p>
      <w:r>
        <w:pict>
          <v:rect style="width:0;height:1.5pt" o:hralign="center" o:hrstd="t" o:hr="t"/>
        </w:pict>
      </w:r>
    </w:p>
    <w:bookmarkEnd w:id="40"/>
    <w:bookmarkStart w:id="42" w:name="X9b8f96e5fd6ec30b02c91cc11d45f1568d9808c"/>
    <w:p>
      <w:pPr>
        <w:pStyle w:val="Heading3"/>
      </w:pPr>
      <w:r>
        <w:t xml:space="preserve">Summary of Emissions by Scope and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CO₂e)</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pPr>
          </w:p>
        </w:tc>
      </w:tr>
      <w:tr>
        <w:tc>
          <w:tcPr/>
          <w:p>
            <w:pPr>
              <w:pStyle w:val="Compact"/>
              <w:jc w:val="left"/>
            </w:pPr>
            <w:r>
              <w:t xml:space="preserve">Manufacturing/Production</w:t>
            </w:r>
          </w:p>
        </w:tc>
        <w:tc>
          <w:tcPr/>
          <w:p>
            <w:pPr>
              <w:pStyle w:val="Compact"/>
              <w:jc w:val="left"/>
            </w:pPr>
            <w:r>
              <w:t xml:space="preserve">Scope 2</w:t>
            </w:r>
          </w:p>
        </w:tc>
        <w:tc>
          <w:tcPr/>
          <w:p>
            <w:pPr>
              <w:pStyle w:val="Compact"/>
            </w:pPr>
          </w:p>
        </w:tc>
      </w:tr>
      <w:tr>
        <w:tc>
          <w:tcPr/>
          <w:p>
            <w:pPr>
              <w:pStyle w:val="Compact"/>
              <w:jc w:val="left"/>
            </w:pPr>
            <w:r>
              <w:t xml:space="preserve">Transport (Upstream &amp; Downstream)</w:t>
            </w:r>
          </w:p>
        </w:tc>
        <w:tc>
          <w:tcPr/>
          <w:p>
            <w:pPr>
              <w:pStyle w:val="Compact"/>
              <w:jc w:val="left"/>
            </w:pPr>
            <w:r>
              <w:t xml:space="preserve">Scope 3 (Upstream &amp; Downstream)</w:t>
            </w:r>
          </w:p>
        </w:tc>
        <w:tc>
          <w:tcPr/>
          <w:p>
            <w:pPr>
              <w:pStyle w:val="Compact"/>
            </w:pPr>
          </w:p>
        </w:tc>
      </w:tr>
      <w:tr>
        <w:tc>
          <w:tcPr/>
          <w:p>
            <w:pPr>
              <w:pStyle w:val="Compact"/>
              <w:jc w:val="left"/>
            </w:pPr>
            <w:r>
              <w:t xml:space="preserve">Use Phase</w:t>
            </w:r>
          </w:p>
        </w:tc>
        <w:tc>
          <w:tcPr/>
          <w:p>
            <w:pPr>
              <w:pStyle w:val="Compact"/>
              <w:jc w:val="left"/>
            </w:pPr>
            <w:r>
              <w:t xml:space="preserve">Scope 3 (Downstream)</w:t>
            </w:r>
          </w:p>
        </w:tc>
        <w:tc>
          <w:tcPr/>
          <w:p>
            <w:pPr>
              <w:pStyle w:val="Compact"/>
            </w:pPr>
          </w:p>
        </w:tc>
      </w:tr>
      <w:tr>
        <w:tc>
          <w:tcPr/>
          <w:p>
            <w:pPr>
              <w:pStyle w:val="Compact"/>
              <w:jc w:val="left"/>
            </w:pPr>
            <w:r>
              <w:t xml:space="preserve">End-of-Life</w:t>
            </w:r>
          </w:p>
        </w:tc>
        <w:tc>
          <w:tcPr/>
          <w:p>
            <w:pPr>
              <w:pStyle w:val="Compact"/>
              <w:jc w:val="left"/>
            </w:pPr>
            <w:r>
              <w:t xml:space="preserve">Scope 3 (Downstream)</w:t>
            </w:r>
          </w:p>
        </w:tc>
        <w:tc>
          <w:tcPr/>
          <w:p>
            <w:pPr>
              <w:pStyle w:val="Compact"/>
            </w:pPr>
          </w:p>
        </w:tc>
      </w:tr>
      <w:tr>
        <w:tc>
          <w:tcPr/>
          <w:p>
            <w:pPr>
              <w:pStyle w:val="Compact"/>
              <w:jc w:val="left"/>
            </w:pPr>
            <w:r>
              <w:rPr>
                <w:bCs/>
                <w:b/>
              </w:rPr>
              <w:t xml:space="preserve">Total Product Carbon Footprint</w:t>
            </w:r>
          </w:p>
        </w:tc>
        <w:tc>
          <w:tcPr/>
          <w:p>
            <w:pPr>
              <w:pStyle w:val="Compact"/>
            </w:pPr>
          </w:p>
        </w:tc>
        <w:tc>
          <w:tcPr/>
          <w:p>
            <w:pPr>
              <w:pStyle w:val="Compact"/>
              <w:jc w:val="left"/>
            </w:pPr>
            <w:r>
              <w:t xml:space="preserve">kg CO₂e</w:t>
            </w:r>
          </w:p>
        </w:tc>
      </w:tr>
    </w:tbl>
    <w:bookmarkStart w:id="41" w:name="emissions-by-ghg-protocol-scope"/>
    <w:p>
      <w:pPr>
        <w:pStyle w:val="Heading4"/>
      </w:pPr>
      <w:r>
        <w:t xml:space="preserve">Emissions by GHG Protocol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CO₂e)</w:t>
            </w:r>
          </w:p>
        </w:tc>
        <w:tc>
          <w:tcPr/>
          <w:p>
            <w:pPr>
              <w:pStyle w:val="Compact"/>
              <w:jc w:val="left"/>
            </w:pPr>
            <w:r>
              <w:t xml:space="preserve">Percentage of Total</w:t>
            </w:r>
          </w:p>
        </w:tc>
      </w:tr>
      <w:tr>
        <w:tc>
          <w:tcPr/>
          <w:p>
            <w:pPr>
              <w:pStyle w:val="Compact"/>
              <w:jc w:val="left"/>
            </w:pPr>
            <w:r>
              <w:t xml:space="preserve">Scope 1</w:t>
            </w:r>
          </w:p>
        </w:tc>
        <w:tc>
          <w:tcPr/>
          <w:p>
            <w:pPr>
              <w:pStyle w:val="Compact"/>
            </w:pPr>
          </w:p>
        </w:tc>
        <w:tc>
          <w:tcPr/>
          <w:p>
            <w:pPr>
              <w:pStyle w:val="Compact"/>
              <w:jc w:val="left"/>
            </w:pPr>
            <w:r>
              <w:t xml:space="preserve">%</w:t>
            </w:r>
          </w:p>
        </w:tc>
      </w:tr>
      <w:tr>
        <w:tc>
          <w:tcPr/>
          <w:p>
            <w:pPr>
              <w:pStyle w:val="Compact"/>
              <w:jc w:val="left"/>
            </w:pPr>
            <w:r>
              <w:t xml:space="preserve">Scope 2</w:t>
            </w:r>
          </w:p>
        </w:tc>
        <w:tc>
          <w:tcPr/>
          <w:p>
            <w:pPr>
              <w:pStyle w:val="Compact"/>
            </w:pPr>
          </w:p>
        </w:tc>
        <w:tc>
          <w:tcPr/>
          <w:p>
            <w:pPr>
              <w:pStyle w:val="Compact"/>
              <w:jc w:val="left"/>
            </w:pPr>
            <w:r>
              <w:t xml:space="preserve">%</w:t>
            </w:r>
          </w:p>
        </w:tc>
      </w:tr>
      <w:tr>
        <w:tc>
          <w:tcPr/>
          <w:p>
            <w:pPr>
              <w:pStyle w:val="Compact"/>
              <w:jc w:val="left"/>
            </w:pPr>
            <w:r>
              <w:t xml:space="preserve">Scope 3</w:t>
            </w:r>
          </w:p>
        </w:tc>
        <w:tc>
          <w:tcPr/>
          <w:p>
            <w:pPr>
              <w:pStyle w:val="Compact"/>
            </w:pPr>
          </w:p>
        </w:tc>
        <w:tc>
          <w:tcPr/>
          <w:p>
            <w:pPr>
              <w:pStyle w:val="Compact"/>
              <w:jc w:val="left"/>
            </w:pPr>
            <w:r>
              <w:t xml:space="preserve">%</w:t>
            </w:r>
          </w:p>
        </w:tc>
      </w:tr>
      <w:tr>
        <w:tc>
          <w:tcPr/>
          <w:p>
            <w:pPr>
              <w:pStyle w:val="Compact"/>
              <w:jc w:val="left"/>
            </w:pPr>
            <w:r>
              <w:rPr>
                <w:bCs/>
                <w:b/>
              </w:rPr>
              <w:t xml:space="preserve">Total</w:t>
            </w:r>
          </w:p>
        </w:tc>
        <w:tc>
          <w:tcPr/>
          <w:p>
            <w:pPr>
              <w:pStyle w:val="Compact"/>
            </w:pPr>
          </w:p>
        </w:tc>
        <w:tc>
          <w:tcPr/>
          <w:p>
            <w:pPr>
              <w:pStyle w:val="Compact"/>
              <w:jc w:val="left"/>
            </w:pPr>
            <w:r>
              <w:rPr>
                <w:bCs/>
                <w:b/>
              </w:rPr>
              <w:t xml:space="preserve">100.00%</w:t>
            </w:r>
          </w:p>
        </w:tc>
      </w:tr>
    </w:tbl>
    <w:p>
      <w:pPr>
        <w:pStyle w:val="BodyText"/>
      </w:pPr>
      <w:r>
        <w:rPr>
          <w:bCs/>
          <w:b/>
        </w:rPr>
        <w:t xml:space="preserve">Scope 3 Coverage:</w:t>
      </w:r>
      <w:r>
        <w:t xml:space="preserve"> </w:t>
      </w:r>
      <w:r>
        <w:t xml:space="preserve">% (Meeting the 95% compliance requirement for 2026).</w:t>
      </w:r>
    </w:p>
    <w:p>
      <w:r>
        <w:pict>
          <v:rect style="width:0;height:1.5pt" o:hralign="center" o:hrstd="t" o:hr="t"/>
        </w:pict>
      </w:r>
    </w:p>
    <w:bookmarkEnd w:id="41"/>
    <w:bookmarkEnd w:id="42"/>
    <w:bookmarkEnd w:id="43"/>
    <w:bookmarkStart w:id="46" w:name="review-report"/>
    <w:p>
      <w:pPr>
        <w:pStyle w:val="Heading2"/>
      </w:pPr>
      <w:r>
        <w:t xml:space="preserve">5. Review &amp; Report</w:t>
      </w:r>
    </w:p>
    <w:bookmarkStart w:id="44" w:name="hotspot-identification"/>
    <w:p>
      <w:pPr>
        <w:pStyle w:val="Heading3"/>
      </w:pPr>
      <w:r>
        <w:t xml:space="preserve">5.1. Hotspot Identification</w:t>
      </w:r>
    </w:p>
    <w:p>
      <w:pPr>
        <w:pStyle w:val="FirstParagraph"/>
      </w:pPr>
      <w:r>
        <w:t xml:space="preserve">Based on the calculations, the primary emission hotspots for "qkqmlqjwhp" are:</w:t>
      </w:r>
    </w:p>
    <w:p>
      <w:pPr>
        <w:numPr>
          <w:ilvl w:val="0"/>
          <w:numId w:val="1012"/>
        </w:numPr>
        <w:pStyle w:val="Compact"/>
      </w:pPr>
      <w:r>
        <w:rPr>
          <w:bCs/>
          <w:b/>
        </w:rPr>
        <w:t xml:space="preserve">Material Acquisition &amp; Pre-processing:</w:t>
      </w:r>
      <w:r>
        <w:t xml:space="preserve"> </w:t>
      </w:r>
      <w:r>
        <w:t xml:space="preserve">With</w:t>
      </w:r>
    </w:p>
    <w:p>
      <w:pPr>
        <w:numPr>
          <w:ilvl w:val="0"/>
          <w:numId w:val="1000"/>
        </w:numPr>
        <w:pStyle w:val="Compact"/>
      </w:pPr>
      <w:r>
        <w:t xml:space="preserve">kg CO₂e, this stage represents a significant portion of the total footprint, highlighting the importance of sustainable sourcing and material selection.</w:t>
      </w:r>
    </w:p>
    <w:p>
      <w:pPr>
        <w:numPr>
          <w:ilvl w:val="0"/>
          <w:numId w:val="1012"/>
        </w:numPr>
        <w:pStyle w:val="Compact"/>
      </w:pPr>
      <w:r>
        <w:rPr>
          <w:bCs/>
          <w:b/>
        </w:rPr>
        <w:t xml:space="preserve">Use Phase:</w:t>
      </w:r>
      <w:r>
        <w:t xml:space="preserve"> </w:t>
      </w:r>
      <w:r>
        <w:t xml:space="preserve">The energy consumption during the product\'s lifespan contributes substantially (</w:t>
      </w:r>
    </w:p>
    <w:p>
      <w:pPr>
        <w:numPr>
          <w:ilvl w:val="0"/>
          <w:numId w:val="1000"/>
        </w:numPr>
        <w:pStyle w:val="Compact"/>
      </w:pPr>
      <w:r>
        <w:t xml:space="preserve">kg CO₂e), emphasizing the need for energy-efficient product design.</w:t>
      </w:r>
    </w:p>
    <w:p>
      <w:pPr>
        <w:numPr>
          <w:ilvl w:val="0"/>
          <w:numId w:val="1012"/>
        </w:numPr>
        <w:pStyle w:val="Compact"/>
      </w:pPr>
      <w:r>
        <w:rPr>
          <w:bCs/>
          <w:b/>
        </w:rPr>
        <w:t xml:space="preserve">End-of-Life:</w:t>
      </w:r>
      <w:r>
        <w:t xml:space="preserve"> </w:t>
      </w:r>
      <w:r>
        <w:t xml:space="preserve">While recycling provides credits, the overall EoL emissions (</w:t>
      </w:r>
    </w:p>
    <w:p>
      <w:pPr>
        <w:numPr>
          <w:ilvl w:val="0"/>
          <w:numId w:val="1000"/>
        </w:numPr>
        <w:pStyle w:val="Compact"/>
      </w:pPr>
      <w:r>
        <w:t xml:space="preserve">kg CO₂e) indicate room for improvement in recyclability and circularity, despite existing programs.</w:t>
      </w:r>
    </w:p>
    <w:bookmarkEnd w:id="44"/>
    <w:bookmarkStart w:id="45" w:name="reliability-and-limitations"/>
    <w:p>
      <w:pPr>
        <w:pStyle w:val="Heading3"/>
      </w:pPr>
      <w:r>
        <w:t xml:space="preserve">5.2. Reliability and Limitations</w:t>
      </w:r>
    </w:p>
    <w:p>
      <w:pPr>
        <w:pStyle w:val="FirstParagraph"/>
      </w:pPr>
      <w:r>
        <w:t xml:space="preserve">This PCF analysis provides a detailed estimate based on the provided parameters and readily available industry-average emission factors. The reliability is influenced by:</w:t>
      </w:r>
    </w:p>
    <w:p>
      <w:pPr>
        <w:numPr>
          <w:ilvl w:val="0"/>
          <w:numId w:val="1013"/>
        </w:numPr>
        <w:pStyle w:val="Compact"/>
      </w:pPr>
      <w:r>
        <w:rPr>
          <w:bCs/>
          <w:b/>
        </w:rPr>
        <w:t xml:space="preserve">Data Quality:</w:t>
      </w:r>
      <w:r>
        <w:t xml:space="preserve"> </w:t>
      </w:r>
      <w:r>
        <w:t xml:space="preserve">The accuracy of the primary data (BOM, energy consumption, lifespan, recyclability) directly impacts the results. While the BOM specified `Total Carbon`, the calculation has re-verified it using `Qty` and `Emission Factor` to ensure consistency.</w:t>
      </w:r>
    </w:p>
    <w:p>
      <w:pPr>
        <w:numPr>
          <w:ilvl w:val="0"/>
          <w:numId w:val="1013"/>
        </w:numPr>
        <w:pStyle w:val="Compact"/>
      </w:pPr>
      <w:r>
        <w:rPr>
          <w:bCs/>
          <w:b/>
        </w:rPr>
        <w:t xml:space="preserve">Emission Factors:</w:t>
      </w:r>
      <w:r>
        <w:t xml:space="preserve"> </w:t>
      </w:r>
      <w:r>
        <w:t xml:space="preserve">Illustrative industry-average emission factors from sources such as DEFRA, IEA, and Climatiq have been used due to the absence of specific Ecoinvent or proprietary supplier data. These factors provide a robust estimation but may not perfectly reflect all specific supply chain nuances.</w:t>
      </w:r>
    </w:p>
    <w:p>
      <w:pPr>
        <w:numPr>
          <w:ilvl w:val="0"/>
          <w:numId w:val="1013"/>
        </w:numPr>
        <w:pStyle w:val="Compact"/>
      </w:pPr>
      <w:r>
        <w:rPr>
          <w:bCs/>
          <w:b/>
        </w:rPr>
        <w:t xml:space="preserve">Assumptions:</w:t>
      </w:r>
      <w:r>
        <w:t xml:space="preserve"> </w:t>
      </w:r>
      <w:r>
        <w:t xml:space="preserve">Assumptions regarding transport modes, last-mile distance, energy mixes (China and Europe), and EoL scenarios (e.g., landfill/incineration split, recycling credit values) introduce a level of uncertainty. These assumptions are transparently stated to allow for future refinement with more specific data.</w:t>
      </w:r>
    </w:p>
    <w:p>
      <w:pPr>
        <w:numPr>
          <w:ilvl w:val="0"/>
          <w:numId w:val="1013"/>
        </w:numPr>
        <w:pStyle w:val="Compact"/>
      </w:pPr>
      <w:r>
        <w:rPr>
          <w:bCs/>
          <w:b/>
        </w:rPr>
        <w:t xml:space="preserve">System Boundary:</w:t>
      </w:r>
      <w:r>
        <w:t xml:space="preserve"> </w:t>
      </w:r>
      <w:r>
        <w:t xml:space="preserve">While defined as "factory_gate" for the geographic scope, the actual calculation extends to "cradle-to-grave" as per user requirements, providing a more holistic view.</w:t>
      </w:r>
    </w:p>
    <w:p>
      <w:pPr>
        <w:pStyle w:val="FirstParagraph"/>
      </w:pPr>
      <w:r>
        <w:t xml:space="preserve">Further improvement in data collection, especially primary data from suppliers and specific transport providers, would enhance the accuracy and robustness of future PCF analyses.</w:t>
      </w:r>
    </w:p>
    <w:bookmarkEnd w:id="45"/>
    <w:bookmarkEnd w:id="46"/>
    <w:p>
      <w:pPr>
        <w:pStyle w:val="BodyText"/>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qkqmlqjwhp</dc:title>
  <dc:creator/>
  <dc:description>High-detail Product Carbon Footprint (PCF) analysis for product qkqmlqjwhp, performed by Senior Sustainability Consultant lmzwpitwef for company lydjufpgnr, adhering to GHG Protocol and 2026 LSR update.</dc:description>
  <dc:language>en</dc:language>
  <cp:keywords/>
  <dcterms:created xsi:type="dcterms:W3CDTF">2026-07-15T09:15:55Z</dcterms:created>
  <dcterms:modified xsi:type="dcterms:W3CDTF">2026-07-15T09:15:55Z</dcterms:modified>
</cp:coreProperties>
</file>

<file path=docProps/custom.xml><?xml version="1.0" encoding="utf-8"?>
<Properties xmlns="http://schemas.openxmlformats.org/officeDocument/2006/custom-properties" xmlns:vt="http://schemas.openxmlformats.org/officeDocument/2006/docPropsVTypes"/>
</file>