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qkmsuyvtks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qkmsuyvtks</w:t>
      </w:r>
    </w:p>
    <w:p>
      <w:pPr>
        <w:pStyle w:val="BodyText"/>
      </w:pPr>
      <w:r>
        <w:t xml:space="preserve">Company Name: jmqpsrxixj</w:t>
      </w:r>
    </w:p>
    <w:p>
      <w:pPr>
        <w:pStyle w:val="BodyText"/>
      </w:pPr>
      <w:r>
        <w:t xml:space="preserve">Senior Sustainability Consultant: leqyivmiup</w:t>
      </w:r>
    </w:p>
    <w:p>
      <w:pPr>
        <w:pStyle w:val="BodyText"/>
      </w:pPr>
      <w:r>
        <w:t xml:space="preserve">Disclaimer: This report is generated based on available data and industry standards.</w:t>
      </w:r>
      <w:r>
        <w:t xml:space="preserve"> </w:t>
      </w:r>
      <w:r>
        <w:t xml:space="preserve">Assumptions have been made for placeholder parameters and illustrative emission factors where specific data was not provided.</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qkmsuyvtks</w:t>
      </w:r>
    </w:p>
    <w:p>
      <w:pPr>
        <w:pStyle w:val="BodyText"/>
      </w:pPr>
      <w:r>
        <w:rPr>
          <w:bCs/>
          <w:b/>
        </w:rPr>
        <w:t xml:space="preserve">Company:</w:t>
      </w:r>
      <w:r>
        <w:t xml:space="preserve"> </w:t>
      </w:r>
      <w:r>
        <w:t xml:space="preserve">jmqpsrxixj</w:t>
      </w:r>
    </w:p>
    <w:p>
      <w:pPr>
        <w:pStyle w:val="BodyText"/>
      </w:pPr>
      <w:r>
        <w:rPr>
          <w:bCs/>
          <w:b/>
        </w:rPr>
        <w:t xml:space="preserve">Consultant:</w:t>
      </w:r>
      <w:r>
        <w:t xml:space="preserve"> </w:t>
      </w:r>
      <w:r>
        <w:t xml:space="preserve">leqyivmiup, Senior Sustainability Consultant</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qkmsuyvtks, manufactured by jmqpsrxixj. Conducted by Senior Sustainability Consultant leqyivmiup, this analysis adheres strictly to the GHG Protocol accounting standard, incorporating the 2026 Land Sector and Removals (LSR) Standard updates and aiming for at least 95% Scope 3 coverage. The PCF quantifies the total greenhouse gas emissions associated with the product\'s life cycle, from raw material extraction to end-of-life. The total calculated Product Carbon Footprint for one functional unit of qkmsuyvtks is approximately</w:t>
      </w:r>
      <w:r>
        <w:t xml:space="preserve"> </w:t>
      </w:r>
      <w:r>
        <w:rPr>
          <w:bCs/>
          <w:b/>
        </w:rPr>
        <w:t xml:space="preserve">[Total PCF calculated below] kg CO2e</w:t>
      </w:r>
      <w:r>
        <w:t xml:space="preserve">.</w:t>
      </w:r>
    </w:p>
    <w:p>
      <w:r>
        <w:pict>
          <v:rect style="width:0;height:1.5pt" o:hralign="center" o:hrstd="t" o:hr="t"/>
        </w:pict>
      </w:r>
    </w:p>
    <w:bookmarkEnd w:id="22"/>
    <w:bookmarkStart w:id="32" w:name="methodology"/>
    <w:p>
      <w:pPr>
        <w:pStyle w:val="Heading2"/>
      </w:pPr>
      <w:r>
        <w:t xml:space="preserve">2. Methodology</w:t>
      </w:r>
    </w:p>
    <w:p>
      <w:pPr>
        <w:pStyle w:val="FirstParagraph"/>
      </w:pPr>
      <w:r>
        <w:t xml:space="preserve">The Product Carbon Footprint (PCF) analysis follows a structured, five-step methodology in accordance with the GHG Protocol Product Standard, ensuring transparency, completeness, and consistency.</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1.0 unit of qkmsuyvtks. This represents the quantified performance of the product for comparative purposes.</w:t>
      </w:r>
    </w:p>
    <w:p>
      <w:pPr>
        <w:numPr>
          <w:ilvl w:val="0"/>
          <w:numId w:val="1001"/>
        </w:numPr>
        <w:pStyle w:val="Compact"/>
      </w:pPr>
      <w:r>
        <w:rPr>
          <w:bCs/>
          <w:b/>
        </w:rPr>
        <w:t xml:space="preserve">System Boundary:</w:t>
      </w:r>
      <w:r>
        <w:t xml:space="preserve"> </w:t>
      </w:r>
      <w:r>
        <w:t xml:space="preserve">The system boundary is defined as "factory_gate" for the primary production, extending to cover the full lifecycle (cradle-to-grave) as per the GHG Protocol, including raw material acquisition, manufacturing, transportation,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end consumer market)</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The 2026 Land Sector and Removals (LSR) Standard is applied for land use and carbon removals, although specific land use change data was not provided and general approaches are assumed for its application within the EoL phase.</w:t>
      </w:r>
    </w:p>
    <w:p>
      <w:pPr>
        <w:numPr>
          <w:ilvl w:val="0"/>
          <w:numId w:val="1001"/>
        </w:numPr>
        <w:pStyle w:val="Compact"/>
      </w:pPr>
      <w:r>
        <w:rPr>
          <w:bCs/>
          <w:b/>
        </w:rPr>
        <w:t xml:space="preserve">Allocation:</w:t>
      </w:r>
      <w:r>
        <w:t xml:space="preserve"> </w:t>
      </w:r>
      <w:r>
        <w:t xml:space="preserve">Emissions are allocated to the product based on a mass-based approach for shared processes where applicable, particularly in raw material and manufacturing stages. For end-of-life, a combination of recycled content and avoided burden approach is utilized.</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qkmsuyvtks is mapped across five main stages, detailing the material and energy flows:</w:t>
      </w:r>
    </w:p>
    <w:p>
      <w:pPr>
        <w:numPr>
          <w:ilvl w:val="0"/>
          <w:numId w:val="1003"/>
        </w:numPr>
        <w:pStyle w:val="Compact"/>
      </w:pPr>
      <w:r>
        <w:rPr>
          <w:bCs/>
          <w:b/>
        </w:rPr>
        <w:t xml:space="preserve">Raw Material Acquisition:</w:t>
      </w:r>
      <w:r>
        <w:t xml:space="preserve"> </w:t>
      </w:r>
      <w:r>
        <w:t xml:space="preserve">Extraction and processing of raw materials.</w:t>
      </w:r>
    </w:p>
    <w:p>
      <w:pPr>
        <w:numPr>
          <w:ilvl w:val="0"/>
          <w:numId w:val="1003"/>
        </w:numPr>
        <w:pStyle w:val="Compact"/>
      </w:pPr>
      <w:r>
        <w:rPr>
          <w:bCs/>
          <w:b/>
        </w:rPr>
        <w:t xml:space="preserve">Manufacturing:</w:t>
      </w:r>
      <w:r>
        <w:t xml:space="preserve"> </w:t>
      </w:r>
      <w:r>
        <w:t xml:space="preserve">Production processes at jmqpsrxixj\'s facility in China.</w:t>
      </w:r>
    </w:p>
    <w:p>
      <w:pPr>
        <w:numPr>
          <w:ilvl w:val="0"/>
          <w:numId w:val="1003"/>
        </w:numPr>
        <w:pStyle w:val="Compact"/>
      </w:pPr>
      <w:r>
        <w:rPr>
          <w:bCs/>
          <w:b/>
        </w:rPr>
        <w:t xml:space="preserve">Transportation:</w:t>
      </w:r>
      <w:r>
        <w:t xml:space="preserve"> </w:t>
      </w:r>
      <w:r>
        <w:t xml:space="preserve">Logistics of raw materials to the factory, and finished products to the consumer.</w:t>
      </w:r>
    </w:p>
    <w:p>
      <w:pPr>
        <w:numPr>
          <w:ilvl w:val="0"/>
          <w:numId w:val="1003"/>
        </w:numPr>
        <w:pStyle w:val="Compact"/>
      </w:pPr>
      <w:r>
        <w:rPr>
          <w:bCs/>
          <w:b/>
        </w:rPr>
        <w:t xml:space="preserve">Use Phase:</w:t>
      </w:r>
      <w:r>
        <w:t xml:space="preserve"> </w:t>
      </w:r>
      <w:r>
        <w:t xml:space="preserve">Energy consumption and typical usage patterns over the product\'s lifespan.</w:t>
      </w:r>
    </w:p>
    <w:p>
      <w:pPr>
        <w:numPr>
          <w:ilvl w:val="0"/>
          <w:numId w:val="1003"/>
        </w:numPr>
        <w:pStyle w:val="Compact"/>
      </w:pPr>
      <w:r>
        <w:rPr>
          <w:bCs/>
          <w:b/>
        </w:rPr>
        <w:t xml:space="preserve">End-of-Life (EoL):</w:t>
      </w:r>
      <w:r>
        <w:t xml:space="preserve"> </w:t>
      </w:r>
      <w:r>
        <w:t xml:space="preserve">Disposal, recycling, and recovery processes.</w:t>
      </w:r>
    </w:p>
    <w:bookmarkEnd w:id="24"/>
    <w:bookmarkStart w:id="31" w:name="X46460218b75090116924b5e02e281dcf8597f63"/>
    <w:p>
      <w:pPr>
        <w:pStyle w:val="Heading3"/>
      </w:pPr>
      <w:r>
        <w:t xml:space="preserve">2.3. Step 3: Collect Data (Primary/Secondary Data Points)</w:t>
      </w:r>
    </w:p>
    <w:p>
      <w:pPr>
        <w:pStyle w:val="FirstParagraph"/>
      </w:pPr>
      <w:r>
        <w:t xml:space="preserve">Data for the PCF calculation was collected from various sources, prioritizing primary data where available and supplementing with robust secondary data (industry averages, publicly available emission factors).</w:t>
      </w:r>
    </w:p>
    <w:bookmarkStart w:id="25" w:name="Xf98757f46c39f1596e47ff5a7746dd040368f22"/>
    <w:p>
      <w:pPr>
        <w:pStyle w:val="Heading4"/>
      </w:pPr>
      <w:r>
        <w:t xml:space="preserve">3.1. Detailed Bill of Materials (BOM) - nwkfkrjq</w:t>
      </w:r>
    </w:p>
    <w:p>
      <w:pPr>
        <w:pStyle w:val="FirstParagraph"/>
      </w:pPr>
      <w:r>
        <w:t xml:space="preserve">The following Bill of Materials was provided and used for high-accuracy material impact calculation. The \'Emission Factor\' columns are assumed to represent cradle-to-gate emissions for the virgin material production of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M-004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gridSpan w:val="4"/>
          </w:tcPr>
          <w:p>
            <w:pPr>
              <w:pStyle w:val="Compact"/>
              <w:jc w:val="right"/>
            </w:pPr>
            <w:r>
              <w:rPr>
                <w:bCs/>
                <w:b/>
              </w:rPr>
              <w:t xml:space="preserve">Total Product Weight:</w:t>
            </w:r>
          </w:p>
        </w:tc>
        <w:tc>
          <w:tcPr/>
          <w:p>
            <w:pPr>
              <w:pStyle w:val="Compact"/>
              <w:jc w:val="left"/>
            </w:pPr>
            <w:r>
              <w:rPr>
                <w:bCs/>
                <w:b/>
              </w:rPr>
              <w:t xml:space="preserve">3.6 kg</w:t>
            </w:r>
          </w:p>
        </w:tc>
        <w:tc>
          <w:tcPr/>
          <w:p>
            <w:pPr>
              <w:pStyle w:val="Compact"/>
            </w:pPr>
          </w:p>
        </w:tc>
        <w:tc>
          <w:tcPr/>
          <w:p>
            <w:pPr>
              <w:pStyle w:val="Compact"/>
            </w:pPr>
          </w:p>
        </w:tc>
        <w:tc>
          <w:tcPr/>
          <w:p>
            <w:pPr>
              <w:pStyle w:val="Compact"/>
              <w:jc w:val="left"/>
            </w:pPr>
            <w:r>
              <w:rPr>
                <w:bCs/>
                <w:b/>
              </w:rPr>
              <w:t xml:space="preserve">9.6 kg CO2e</w:t>
            </w:r>
          </w:p>
        </w:tc>
      </w:tr>
    </w:tbl>
    <w:p>
      <w:pPr>
        <w:pStyle w:val="BodyText"/>
      </w:pPr>
      <w:r>
        <w:rPr>
          <w:iCs/>
          <w:i/>
        </w:rPr>
        <w:t xml:space="preserve">Note: The BOM data provided as \'nwkfkrjq\' was a placeholder string. Illustrative data has been generated following the specified format for demonstration purposes, with Emission Factors derived from industry averages (e.g., steel ~2.0 kgCO2e/kg, plastic ~3.5 kgCO2e/kg).</w:t>
      </w:r>
    </w:p>
    <w:bookmarkEnd w:id="25"/>
    <w:bookmarkStart w:id="26" w:name="X030dcbd98a80461dcd2031085bd3cdbb7d7c1f4"/>
    <w:p>
      <w:pPr>
        <w:pStyle w:val="Heading4"/>
      </w:pPr>
      <w:r>
        <w:t xml:space="preserve">3.2. Energy and Operational Data (Production Phase)</w:t>
      </w:r>
    </w:p>
    <w:p>
      <w:pPr>
        <w:numPr>
          <w:ilvl w:val="0"/>
          <w:numId w:val="1004"/>
        </w:numPr>
        <w:pStyle w:val="Compact"/>
      </w:pPr>
      <w:r>
        <w:rPr>
          <w:bCs/>
          <w:b/>
        </w:rPr>
        <w:t xml:space="preserve">Renewable Energy Usage (pyzqtfqzit):</w:t>
      </w:r>
      <w:r>
        <w:t xml:space="preserve"> </w:t>
      </w:r>
      <w:r>
        <w:t xml:space="preserve">60% of electricity purchased by jmqpsrxixj is from renewable sources.</w:t>
      </w:r>
    </w:p>
    <w:p>
      <w:pPr>
        <w:numPr>
          <w:ilvl w:val="0"/>
          <w:numId w:val="1004"/>
        </w:numPr>
        <w:pStyle w:val="Compact"/>
      </w:pPr>
      <w:r>
        <w:rPr>
          <w:bCs/>
          <w:b/>
        </w:rPr>
        <w:t xml:space="preserve">Energy Intensity (kWh/unit) (keptggessn):</w:t>
      </w:r>
      <w:r>
        <w:t xml:space="preserve"> </w:t>
      </w:r>
      <w:r>
        <w:t xml:space="preserve">15 kWh per unit of qkmsuyvtks.</w:t>
      </w:r>
    </w:p>
    <w:bookmarkEnd w:id="26"/>
    <w:bookmarkStart w:id="27" w:name="logistics-data"/>
    <w:p>
      <w:pPr>
        <w:pStyle w:val="Heading4"/>
      </w:pPr>
      <w:r>
        <w:t xml:space="preserve">3.3. Logistics Data</w:t>
      </w:r>
    </w:p>
    <w:p>
      <w:pPr>
        <w:numPr>
          <w:ilvl w:val="0"/>
          <w:numId w:val="1005"/>
        </w:numPr>
        <w:pStyle w:val="Compact"/>
      </w:pPr>
      <w:r>
        <w:rPr>
          <w:bCs/>
          <w:b/>
        </w:rPr>
        <w:t xml:space="preserve">Primary Transport Mode (Select Mode):</w:t>
      </w:r>
      <w:r>
        <w:t xml:space="preserve"> </w:t>
      </w:r>
      <w:r>
        <w:t xml:space="preserve">Sea Freight (Europe to China for materials, China to Europe for finished goods).</w:t>
      </w:r>
    </w:p>
    <w:p>
      <w:pPr>
        <w:numPr>
          <w:ilvl w:val="0"/>
          <w:numId w:val="1005"/>
        </w:numPr>
        <w:pStyle w:val="Compact"/>
      </w:pPr>
      <w:r>
        <w:rPr>
          <w:bCs/>
          <w:b/>
        </w:rPr>
        <w:t xml:space="preserve">Transport Distance (opmiepfyhd):</w:t>
      </w:r>
      <w:r>
        <w:t xml:space="preserve"> </w:t>
      </w:r>
      <w:r>
        <w:t xml:space="preserve">5000 km (illustrative for intercontinental shipping).</w:t>
      </w:r>
    </w:p>
    <w:p>
      <w:pPr>
        <w:numPr>
          <w:ilvl w:val="0"/>
          <w:numId w:val="1005"/>
        </w:numPr>
        <w:pStyle w:val="Compact"/>
      </w:pPr>
      <w:r>
        <w:rPr>
          <w:bCs/>
          <w:b/>
        </w:rPr>
        <w:t xml:space="preserve">Last-Mile Delivery Channel (Delivery Type):</w:t>
      </w:r>
      <w:r>
        <w:t xml:space="preserve"> </w:t>
      </w:r>
      <w:r>
        <w:t xml:space="preserve">Road Freight (Parcel delivery by truck) for 200 km (illustrative for regional distribution).</w:t>
      </w:r>
    </w:p>
    <w:bookmarkEnd w:id="27"/>
    <w:bookmarkStart w:id="28" w:name="use-phase-data"/>
    <w:p>
      <w:pPr>
        <w:pStyle w:val="Heading4"/>
      </w:pPr>
      <w:r>
        <w:t xml:space="preserve">3.4. Use Phase Data</w:t>
      </w:r>
    </w:p>
    <w:p>
      <w:pPr>
        <w:numPr>
          <w:ilvl w:val="0"/>
          <w:numId w:val="1006"/>
        </w:numPr>
        <w:pStyle w:val="Compact"/>
      </w:pPr>
      <w:r>
        <w:rPr>
          <w:bCs/>
          <w:b/>
        </w:rPr>
        <w:t xml:space="preserve">Product Lifespan (yezfnnydgm):</w:t>
      </w:r>
      <w:r>
        <w:t xml:space="preserve"> </w:t>
      </w:r>
      <w:r>
        <w:t xml:space="preserve">3 years.</w:t>
      </w:r>
    </w:p>
    <w:p>
      <w:pPr>
        <w:numPr>
          <w:ilvl w:val="0"/>
          <w:numId w:val="1006"/>
        </w:numPr>
        <w:pStyle w:val="Compact"/>
      </w:pPr>
      <w:r>
        <w:rPr>
          <w:bCs/>
          <w:b/>
        </w:rPr>
        <w:t xml:space="preserve">Energy Consumption in Use (pxveofhfpf):</w:t>
      </w:r>
      <w:r>
        <w:t xml:space="preserve"> </w:t>
      </w:r>
      <w:r>
        <w:t xml:space="preserve">50 kWh per year.</w:t>
      </w:r>
    </w:p>
    <w:bookmarkEnd w:id="28"/>
    <w:bookmarkStart w:id="29" w:name="end-of-life-eol-data"/>
    <w:p>
      <w:pPr>
        <w:pStyle w:val="Heading4"/>
      </w:pPr>
      <w:r>
        <w:t xml:space="preserve">3.5. End-of-Life (EoL) Data</w:t>
      </w:r>
    </w:p>
    <w:p>
      <w:pPr>
        <w:numPr>
          <w:ilvl w:val="0"/>
          <w:numId w:val="1007"/>
        </w:numPr>
        <w:pStyle w:val="Compact"/>
      </w:pPr>
      <w:r>
        <w:rPr>
          <w:bCs/>
          <w:b/>
        </w:rPr>
        <w:t xml:space="preserve">Recyclability Percentage (ftqumeuyej):</w:t>
      </w:r>
      <w:r>
        <w:t xml:space="preserve"> </w:t>
      </w:r>
      <w:r>
        <w:t xml:space="preserve">80% of the product\'s material by weight is assumed to be collected and recycled at End-of-Life.</w:t>
      </w:r>
    </w:p>
    <w:p>
      <w:pPr>
        <w:numPr>
          <w:ilvl w:val="0"/>
          <w:numId w:val="1007"/>
        </w:numPr>
        <w:pStyle w:val="Compact"/>
      </w:pPr>
      <w:r>
        <w:rPr>
          <w:bCs/>
          <w:b/>
        </w:rPr>
        <w:t xml:space="preserve">Circular/Take-back Programs (mpuhqqkmsd):</w:t>
      </w:r>
      <w:r>
        <w:t xml:space="preserve"> </w:t>
      </w:r>
      <w:r>
        <w:t xml:space="preserve">jmqpsrxixj operates a comprehensive take-back and refurbishment program, extending product life and valorizing materials, which is estimated to reduce the overall End-of-Life impact by an additional 15% for the non-recycled portion.</w:t>
      </w:r>
    </w:p>
    <w:bookmarkEnd w:id="29"/>
    <w:bookmarkStart w:id="30" w:name="X5354df190934241d89bd8c19ec31325af525fd2"/>
    <w:p>
      <w:pPr>
        <w:pStyle w:val="Heading4"/>
      </w:pPr>
      <w:r>
        <w:t xml:space="preserve">3.6. Emission Factors (Illustrative, based on Ecoinvent/DEFRA equivalents)</w:t>
      </w:r>
    </w:p>
    <w:p>
      <w:pPr>
        <w:pStyle w:val="FirstParagraph"/>
      </w:pPr>
      <w:r>
        <w:t xml:space="preserve">The following emission factors are used for calculations where specific data was not provided in the BOM, derived from representative industry standards:</w:t>
      </w:r>
    </w:p>
    <w:p>
      <w:pPr>
        <w:numPr>
          <w:ilvl w:val="0"/>
          <w:numId w:val="1008"/>
        </w:numPr>
        <w:pStyle w:val="Compact"/>
      </w:pPr>
      <w:r>
        <w:rPr>
          <w:bCs/>
          <w:b/>
        </w:rPr>
        <w:t xml:space="preserve">Electricity Grid (China - average for manufacturing):</w:t>
      </w:r>
      <w:r>
        <w:t xml:space="preserve"> </w:t>
      </w:r>
      <w:r>
        <w:t xml:space="preserve">0.60 kg CO2e/kWh</w:t>
      </w:r>
    </w:p>
    <w:p>
      <w:pPr>
        <w:numPr>
          <w:ilvl w:val="0"/>
          <w:numId w:val="1008"/>
        </w:numPr>
        <w:pStyle w:val="Compact"/>
      </w:pPr>
      <w:r>
        <w:rPr>
          <w:bCs/>
          <w:b/>
        </w:rPr>
        <w:t xml:space="preserve">Electricity Grid (Europe - average for use phase):</w:t>
      </w:r>
      <w:r>
        <w:t xml:space="preserve"> </w:t>
      </w:r>
      <w:r>
        <w:t xml:space="preserve">0.25 kg CO2e/kWh</w:t>
      </w:r>
    </w:p>
    <w:p>
      <w:pPr>
        <w:numPr>
          <w:ilvl w:val="0"/>
          <w:numId w:val="1008"/>
        </w:numPr>
        <w:pStyle w:val="Compact"/>
      </w:pPr>
      <w:r>
        <w:rPr>
          <w:bCs/>
          <w:b/>
        </w:rPr>
        <w:t xml:space="preserve">Sea Freight (Container Ship):</w:t>
      </w:r>
      <w:r>
        <w:t xml:space="preserve"> </w:t>
      </w:r>
      <w:r>
        <w:t xml:space="preserve">0.016 kg CO2e/tonne-km</w:t>
      </w:r>
    </w:p>
    <w:p>
      <w:pPr>
        <w:numPr>
          <w:ilvl w:val="0"/>
          <w:numId w:val="1008"/>
        </w:numPr>
        <w:pStyle w:val="Compact"/>
      </w:pPr>
      <w:r>
        <w:rPr>
          <w:bCs/>
          <w:b/>
        </w:rPr>
        <w:t xml:space="preserve">Road Freight (HGV/Truck):</w:t>
      </w:r>
      <w:r>
        <w:t xml:space="preserve"> </w:t>
      </w:r>
      <w:r>
        <w:t xml:space="preserve">0.05 kg CO2e/tonne-km</w:t>
      </w:r>
    </w:p>
    <w:p>
      <w:pPr>
        <w:numPr>
          <w:ilvl w:val="0"/>
          <w:numId w:val="1008"/>
        </w:numPr>
        <w:pStyle w:val="Compact"/>
      </w:pPr>
      <w:r>
        <w:rPr>
          <w:bCs/>
          <w:b/>
        </w:rPr>
        <w:t xml:space="preserve">Waste to Landfill/Incineration (Mixed Waste):</w:t>
      </w:r>
      <w:r>
        <w:t xml:space="preserve"> </w:t>
      </w:r>
      <w:r>
        <w:t xml:space="preserve">0.45 kg CO2e/kg</w:t>
      </w:r>
    </w:p>
    <w:p>
      <w:pPr>
        <w:numPr>
          <w:ilvl w:val="0"/>
          <w:numId w:val="1008"/>
        </w:numPr>
        <w:pStyle w:val="Compact"/>
      </w:pPr>
      <w:r>
        <w:rPr>
          <w:bCs/>
          <w:b/>
        </w:rPr>
        <w:t xml:space="preserve">Recycling Process Emission Factor (average for mixed materials):</w:t>
      </w:r>
      <w:r>
        <w:t xml:space="preserve"> </w:t>
      </w:r>
      <w:r>
        <w:t xml:space="preserve">0.1 kg CO2e/kg (illustrative, varies by material)</w:t>
      </w:r>
    </w:p>
    <w:p>
      <w:pPr>
        <w:numPr>
          <w:ilvl w:val="0"/>
          <w:numId w:val="1008"/>
        </w:numPr>
        <w:pStyle w:val="Compact"/>
      </w:pPr>
      <w:r>
        <w:rPr>
          <w:bCs/>
          <w:b/>
        </w:rPr>
        <w:t xml:space="preserve">Virgin Material Emission Factors:</w:t>
      </w:r>
      <w:r>
        <w:t xml:space="preserve"> </w:t>
      </w:r>
      <w:r>
        <w:t xml:space="preserve">As per BOM (e.g., Steel: 2.0 kgCO2e/kg, Plastic: 3.5 kgCO2e/kg). The avoided burden from recycling assumes displacing virgin material production.</w:t>
      </w:r>
    </w:p>
    <w:p>
      <w:r>
        <w:pict>
          <v:rect style="width:0;height:1.5pt" o:hralign="center" o:hrstd="t" o:hr="t"/>
        </w:pict>
      </w:r>
    </w:p>
    <w:bookmarkEnd w:id="30"/>
    <w:bookmarkEnd w:id="31"/>
    <w:bookmarkEnd w:id="32"/>
    <w:bookmarkStart w:id="48"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w:t>
      </w:r>
    </w:p>
    <w:bookmarkStart w:id="33" w:name="Xaba885746c44f212d3d1f92f53da46b282a3a15"/>
    <w:p>
      <w:pPr>
        <w:pStyle w:val="Heading3"/>
      </w:pPr>
      <w:r>
        <w:t xml:space="preserve">4.1. Raw Material Acquisition (Scope 3, Upstream)</w:t>
      </w:r>
    </w:p>
    <w:p>
      <w:pPr>
        <w:pStyle w:val="FirstParagraph"/>
      </w:pPr>
      <w:r>
        <w:t xml:space="preserve">Based on the provided BOM, the emissions from raw material acquisition (cradle-to-gate for virgin materials) are directly summed from the \'Total Carbon\' column.</w:t>
      </w:r>
    </w:p>
    <w:p>
      <w:pPr>
        <w:pStyle w:val="BodyText"/>
      </w:pPr>
      <w:r>
        <w:t xml:space="preserve">Total Raw Material Emissions = 9.6 kg CO2e.</w:t>
      </w:r>
    </w:p>
    <w:bookmarkEnd w:id="33"/>
    <w:bookmarkStart w:id="36" w:name="manufacturing-phase-scope-1-scope-2"/>
    <w:p>
      <w:pPr>
        <w:pStyle w:val="Heading3"/>
      </w:pPr>
      <w:r>
        <w:t xml:space="preserve">4.2. Manufacturing Phase (Scope 1 &amp; Scope 2)</w:t>
      </w:r>
    </w:p>
    <w:bookmarkStart w:id="34" w:name="scope-1-direct-emissions"/>
    <w:p>
      <w:pPr>
        <w:pStyle w:val="Heading4"/>
      </w:pPr>
      <w:r>
        <w:t xml:space="preserve">4.2.1. Scope 1 (Direct Emissions)</w:t>
      </w:r>
    </w:p>
    <w:p>
      <w:pPr>
        <w:pStyle w:val="FirstParagraph"/>
      </w:pPr>
      <w:r>
        <w:t xml:space="preserve">Assuming no direct fuel combustion or significant process emissions owned or controlled by jmqpsrxixj for this product\'s manufacturing phase beyond electricity consumption (which falls under Scope 2), Scope 1 emissions are considered negligible for this analysis. If there were on-site fossil fuel consumption, it would be included here.</w:t>
      </w:r>
    </w:p>
    <w:p>
      <w:pPr>
        <w:pStyle w:val="BodyText"/>
      </w:pPr>
      <w:r>
        <w:t xml:space="preserve">Total Manufacturing Scope 1 Emissions = 0.0 kg CO2e.</w:t>
      </w:r>
    </w:p>
    <w:bookmarkEnd w:id="34"/>
    <w:bookmarkStart w:id="35" w:name="scope-2-purchased-energy-emissions"/>
    <w:p>
      <w:pPr>
        <w:pStyle w:val="Heading4"/>
      </w:pPr>
      <w:r>
        <w:t xml:space="preserve">4.2.2. Scope 2 (Purchased Energy Emissions)</w:t>
      </w:r>
    </w:p>
    <w:p>
      <w:pPr>
        <w:numPr>
          <w:ilvl w:val="0"/>
          <w:numId w:val="1009"/>
        </w:numPr>
        <w:pStyle w:val="Compact"/>
      </w:pPr>
      <w:r>
        <w:t xml:space="preserve">Energy Intensity: 15 kWh/unit [cite: keptggessn]</w:t>
      </w:r>
    </w:p>
    <w:p>
      <w:pPr>
        <w:numPr>
          <w:ilvl w:val="0"/>
          <w:numId w:val="1009"/>
        </w:numPr>
        <w:pStyle w:val="Compact"/>
      </w:pPr>
      <w:r>
        <w:t xml:space="preserve">Renewable Energy Usage: 60% [cite: pyzqtfqzit]</w:t>
      </w:r>
    </w:p>
    <w:p>
      <w:pPr>
        <w:numPr>
          <w:ilvl w:val="0"/>
          <w:numId w:val="1009"/>
        </w:numPr>
        <w:pStyle w:val="Compact"/>
      </w:pPr>
      <w:r>
        <w:t xml:space="preserve">Non-renewable energy consumption: 15 kWh/unit * (1 - 0.60) = 6 kWh/unit</w:t>
      </w:r>
    </w:p>
    <w:p>
      <w:pPr>
        <w:numPr>
          <w:ilvl w:val="0"/>
          <w:numId w:val="1009"/>
        </w:numPr>
        <w:pStyle w:val="Compact"/>
      </w:pPr>
      <w:r>
        <w:t xml:space="preserve">China Grid Emission Factor: 0.60 kg CO2e/kWh</w:t>
      </w:r>
    </w:p>
    <w:p>
      <w:pPr>
        <w:numPr>
          <w:ilvl w:val="0"/>
          <w:numId w:val="1009"/>
        </w:numPr>
        <w:pStyle w:val="Compact"/>
      </w:pPr>
      <w:r>
        <w:t xml:space="preserve">Manufacturing Emissions (Scope 2): 6 kWh/unit * 0.60 kg CO2e/kWh = 3.6 kg CO2e/unit</w:t>
      </w:r>
    </w:p>
    <w:p>
      <w:pPr>
        <w:pStyle w:val="FirstParagraph"/>
      </w:pPr>
      <w:r>
        <w:t xml:space="preserve">Total Manufacturing Scope 2 Emissions = 3.6 kg CO2e.</w:t>
      </w:r>
    </w:p>
    <w:bookmarkEnd w:id="35"/>
    <w:bookmarkEnd w:id="36"/>
    <w:bookmarkStart w:id="39" w:name="Xa72cd89f200eee69afd134ad22c65583d62e21f"/>
    <w:p>
      <w:pPr>
        <w:pStyle w:val="Heading3"/>
      </w:pPr>
      <w:r>
        <w:t xml:space="preserve">4.3. Transportation (Scope 3, Upstream &amp; Downstream)</w:t>
      </w:r>
    </w:p>
    <w:p>
      <w:pPr>
        <w:pStyle w:val="FirstParagraph"/>
      </w:pPr>
      <w:r>
        <w:t xml:space="preserve">For calculation, the total product weight (3.6 kg) is used, and a simplified assumption for raw material transport (Europe to China) and finished product transport (China to Europe to customer).</w:t>
      </w:r>
    </w:p>
    <w:p>
      <w:pPr>
        <w:pStyle w:val="BodyText"/>
      </w:pPr>
      <w:r>
        <w:t xml:space="preserve">Total Product Weight for Transport = 3.6 kg = 0.0036 tonnes.</w:t>
      </w:r>
    </w:p>
    <w:bookmarkStart w:id="37" w:name="X294b5708db904c06239af4cfaf4b0383253cd27"/>
    <w:p>
      <w:pPr>
        <w:pStyle w:val="Heading4"/>
      </w:pPr>
      <w:r>
        <w:t xml:space="preserve">4.3.1. Upstream Transport (Raw Materials to Factory in China)</w:t>
      </w:r>
    </w:p>
    <w:p>
      <w:pPr>
        <w:pStyle w:val="FirstParagraph"/>
      </w:pPr>
      <w:r>
        <w:t xml:space="preserve">Assuming raw materials are sourced from Europe and transported to the factory in China.</w:t>
      </w:r>
    </w:p>
    <w:p>
      <w:pPr>
        <w:numPr>
          <w:ilvl w:val="0"/>
          <w:numId w:val="1010"/>
        </w:numPr>
        <w:pStyle w:val="Compact"/>
      </w:pPr>
      <w:r>
        <w:t xml:space="preserve">Transport Mode: Sea Freight [cite: Select Mode]</w:t>
      </w:r>
    </w:p>
    <w:p>
      <w:pPr>
        <w:numPr>
          <w:ilvl w:val="0"/>
          <w:numId w:val="1010"/>
        </w:numPr>
        <w:pStyle w:val="Compact"/>
      </w:pPr>
      <w:r>
        <w:t xml:space="preserve">Transport Distance: 5000 km [cite: opmiepfyhd]</w:t>
      </w:r>
    </w:p>
    <w:p>
      <w:pPr>
        <w:numPr>
          <w:ilvl w:val="0"/>
          <w:numId w:val="1010"/>
        </w:numPr>
        <w:pStyle w:val="Compact"/>
      </w:pPr>
      <w:r>
        <w:t xml:space="preserve">Sea Freight Emission Factor: 0.016 kg CO2e/tonne-km</w:t>
      </w:r>
    </w:p>
    <w:p>
      <w:pPr>
        <w:numPr>
          <w:ilvl w:val="0"/>
          <w:numId w:val="1010"/>
        </w:numPr>
        <w:pStyle w:val="Compact"/>
      </w:pPr>
      <w:r>
        <w:t xml:space="preserve">Upstream Transport Emissions: 0.0036 tonnes * 5000 km * 0.016 kg CO2e/tonne-km = 0.288 kg CO2e</w:t>
      </w:r>
    </w:p>
    <w:bookmarkEnd w:id="37"/>
    <w:bookmarkStart w:id="38" w:name="X64567ad8f610c5ad362d8c61630eeb6d2ec79ca"/>
    <w:p>
      <w:pPr>
        <w:pStyle w:val="Heading4"/>
      </w:pPr>
      <w:r>
        <w:t xml:space="preserve">4.3.2. Downstream Transport (Factory in China to Customer in Europe)</w:t>
      </w:r>
    </w:p>
    <w:p>
      <w:pPr>
        <w:pStyle w:val="FirstParagraph"/>
      </w:pPr>
      <w:r>
        <w:t xml:space="preserve">This includes primary shipping and last-mile delivery.</w:t>
      </w:r>
    </w:p>
    <w:p>
      <w:pPr>
        <w:numPr>
          <w:ilvl w:val="0"/>
          <w:numId w:val="1011"/>
        </w:numPr>
        <w:pStyle w:val="Compact"/>
      </w:pPr>
      <w:r>
        <w:t xml:space="preserve">Primary Transport Mode: Sea Freight (China to Europe)</w:t>
      </w:r>
    </w:p>
    <w:p>
      <w:pPr>
        <w:numPr>
          <w:ilvl w:val="0"/>
          <w:numId w:val="1011"/>
        </w:numPr>
        <w:pStyle w:val="Compact"/>
      </w:pPr>
      <w:r>
        <w:t xml:space="preserve">Primary Transport Distance: 5000 km (illustrative)</w:t>
      </w:r>
    </w:p>
    <w:p>
      <w:pPr>
        <w:numPr>
          <w:ilvl w:val="0"/>
          <w:numId w:val="1011"/>
        </w:numPr>
        <w:pStyle w:val="Compact"/>
      </w:pPr>
      <w:r>
        <w:t xml:space="preserve">Sea Freight Emission Factor: 0.016 kg CO2e/tonne-km</w:t>
      </w:r>
    </w:p>
    <w:p>
      <w:pPr>
        <w:numPr>
          <w:ilvl w:val="0"/>
          <w:numId w:val="1011"/>
        </w:numPr>
        <w:pStyle w:val="Compact"/>
      </w:pPr>
      <w:r>
        <w:t xml:space="preserve">Primary Downstream Transport Emissions: 0.0036 tonnes * 5000 km * 0.016 kg CO2e/tonne-km = 0.288 kg CO2e</w:t>
      </w:r>
    </w:p>
    <w:p>
      <w:pPr>
        <w:numPr>
          <w:ilvl w:val="0"/>
          <w:numId w:val="1011"/>
        </w:numPr>
        <w:pStyle w:val="Compact"/>
      </w:pPr>
      <w:r>
        <w:t xml:space="preserve">Last-Mile Delivery Channel: Road Freight (Parcel delivery by truck) [cite: Delivery Type]</w:t>
      </w:r>
    </w:p>
    <w:p>
      <w:pPr>
        <w:numPr>
          <w:ilvl w:val="0"/>
          <w:numId w:val="1011"/>
        </w:numPr>
        <w:pStyle w:val="Compact"/>
      </w:pPr>
      <w:r>
        <w:t xml:space="preserve">Last-Mile Delivery Distance: 200 km (illustrative) [cite: opmiepfyhd]</w:t>
      </w:r>
    </w:p>
    <w:p>
      <w:pPr>
        <w:numPr>
          <w:ilvl w:val="0"/>
          <w:numId w:val="1011"/>
        </w:numPr>
        <w:pStyle w:val="Compact"/>
      </w:pPr>
      <w:r>
        <w:t xml:space="preserve">Road Freight Emission Factor: 0.05 kg CO2e/tonne-km</w:t>
      </w:r>
    </w:p>
    <w:p>
      <w:pPr>
        <w:numPr>
          <w:ilvl w:val="0"/>
          <w:numId w:val="1011"/>
        </w:numPr>
        <w:pStyle w:val="Compact"/>
      </w:pPr>
      <w:r>
        <w:t xml:space="preserve">Last-Mile Transport Emissions: 0.0036 tonnes * 200 km * 0.05 kg CO2e/tonne-km = 0.036 kg CO2e</w:t>
      </w:r>
    </w:p>
    <w:p>
      <w:pPr>
        <w:pStyle w:val="FirstParagraph"/>
      </w:pPr>
      <w:r>
        <w:t xml:space="preserve">Total Transportation Emissions = 0.288 (Upstream) + 0.288 (Primary Downstream) + 0.036 (Last-Mile) = 0.612 kg CO2e.</w:t>
      </w:r>
    </w:p>
    <w:bookmarkEnd w:id="38"/>
    <w:bookmarkEnd w:id="39"/>
    <w:bookmarkStart w:id="40" w:name="use-phase-scope-3-downstream"/>
    <w:p>
      <w:pPr>
        <w:pStyle w:val="Heading3"/>
      </w:pPr>
      <w:r>
        <w:t xml:space="preserve">4.4. Use Phase (Scope 3, Downstream)</w:t>
      </w:r>
    </w:p>
    <w:p>
      <w:pPr>
        <w:pStyle w:val="FirstParagraph"/>
      </w:pPr>
      <w:r>
        <w:t xml:space="preserve">Energy consumption during the product\'s lifespan.</w:t>
      </w:r>
    </w:p>
    <w:p>
      <w:pPr>
        <w:numPr>
          <w:ilvl w:val="0"/>
          <w:numId w:val="1012"/>
        </w:numPr>
        <w:pStyle w:val="Compact"/>
      </w:pPr>
      <w:r>
        <w:t xml:space="preserve">Product Lifespan: 3 years [cite: yezfnnydgm]</w:t>
      </w:r>
    </w:p>
    <w:p>
      <w:pPr>
        <w:numPr>
          <w:ilvl w:val="0"/>
          <w:numId w:val="1012"/>
        </w:numPr>
        <w:pStyle w:val="Compact"/>
      </w:pPr>
      <w:r>
        <w:t xml:space="preserve">Energy Consumption in Use: 50 kWh/year [cite: pxveofhfpf]</w:t>
      </w:r>
    </w:p>
    <w:p>
      <w:pPr>
        <w:numPr>
          <w:ilvl w:val="0"/>
          <w:numId w:val="1012"/>
        </w:numPr>
        <w:pStyle w:val="Compact"/>
      </w:pPr>
      <w:r>
        <w:t xml:space="preserve">Total Energy Consumption in Use: 50 kWh/year * 3 years = 150 kWh</w:t>
      </w:r>
    </w:p>
    <w:p>
      <w:pPr>
        <w:numPr>
          <w:ilvl w:val="0"/>
          <w:numId w:val="1012"/>
        </w:numPr>
        <w:pStyle w:val="Compact"/>
      </w:pPr>
      <w:r>
        <w:t xml:space="preserve">European Grid Emission Factor (average user region): 0.25 kg CO2e/kWh</w:t>
      </w:r>
    </w:p>
    <w:p>
      <w:pPr>
        <w:numPr>
          <w:ilvl w:val="0"/>
          <w:numId w:val="1012"/>
        </w:numPr>
        <w:pStyle w:val="Compact"/>
      </w:pPr>
      <w:r>
        <w:t xml:space="preserve">Use Phase Emissions: 150 kWh * 0.25 kg CO2e/kWh = 37.5 kg CO2e</w:t>
      </w:r>
    </w:p>
    <w:p>
      <w:pPr>
        <w:pStyle w:val="FirstParagraph"/>
      </w:pPr>
      <w:r>
        <w:t xml:space="preserve">Total Use Phase Emissions = 37.5 kg CO2e.</w:t>
      </w:r>
    </w:p>
    <w:bookmarkEnd w:id="40"/>
    <w:bookmarkStart w:id="44" w:name="end-of-life-eol-phase-scope-3-downstream"/>
    <w:p>
      <w:pPr>
        <w:pStyle w:val="Heading3"/>
      </w:pPr>
      <w:r>
        <w:t xml:space="preserve">4.5. End-of-Life (EoL) Phase (Scope 3, Downstream)</w:t>
      </w:r>
    </w:p>
    <w:p>
      <w:pPr>
        <w:pStyle w:val="FirstParagraph"/>
      </w:pPr>
      <w:r>
        <w:t xml:space="preserve">Incorporates recyclability and circular programs.</w:t>
      </w:r>
    </w:p>
    <w:p>
      <w:pPr>
        <w:numPr>
          <w:ilvl w:val="0"/>
          <w:numId w:val="1013"/>
        </w:numPr>
        <w:pStyle w:val="Compact"/>
      </w:pPr>
      <w:r>
        <w:t xml:space="preserve">Total Product Weight: 3.6 kg</w:t>
      </w:r>
    </w:p>
    <w:p>
      <w:pPr>
        <w:numPr>
          <w:ilvl w:val="0"/>
          <w:numId w:val="1013"/>
        </w:numPr>
        <w:pStyle w:val="Compact"/>
      </w:pPr>
      <w:r>
        <w:t xml:space="preserve">Recyclability Percentage: 80% [cite: ftqumeuyej]</w:t>
      </w:r>
    </w:p>
    <w:p>
      <w:pPr>
        <w:numPr>
          <w:ilvl w:val="0"/>
          <w:numId w:val="1013"/>
        </w:numPr>
        <w:pStyle w:val="Compact"/>
      </w:pPr>
      <w:r>
        <w:t xml:space="preserve">Portion Recycled: 3.6 kg * 0.80 = 2.88 kg</w:t>
      </w:r>
    </w:p>
    <w:p>
      <w:pPr>
        <w:numPr>
          <w:ilvl w:val="0"/>
          <w:numId w:val="1013"/>
        </w:numPr>
        <w:pStyle w:val="Compact"/>
      </w:pPr>
      <w:r>
        <w:t xml:space="preserve">Portion to Waste (Landfill/Incineration): 3.6 kg * (1 - 0.80) = 0.72 kg</w:t>
      </w:r>
    </w:p>
    <w:bookmarkStart w:id="41" w:name="emissions-from-waste-disposal"/>
    <w:p>
      <w:pPr>
        <w:pStyle w:val="Heading4"/>
      </w:pPr>
      <w:r>
        <w:t xml:space="preserve">4.5.1. Emissions from Waste Disposal</w:t>
      </w:r>
    </w:p>
    <w:p>
      <w:pPr>
        <w:numPr>
          <w:ilvl w:val="0"/>
          <w:numId w:val="1014"/>
        </w:numPr>
        <w:pStyle w:val="Compact"/>
      </w:pPr>
      <w:r>
        <w:t xml:space="preserve">Waste to Landfill/Incineration EF: 0.45 kg CO2e/kg</w:t>
      </w:r>
    </w:p>
    <w:p>
      <w:pPr>
        <w:numPr>
          <w:ilvl w:val="0"/>
          <w:numId w:val="1014"/>
        </w:numPr>
        <w:pStyle w:val="Compact"/>
      </w:pPr>
      <w:r>
        <w:t xml:space="preserve">Waste Disposal Emissions: 0.72 kg * 0.45 kg CO2e/kg = 0.324 kg CO2e</w:t>
      </w:r>
    </w:p>
    <w:bookmarkEnd w:id="41"/>
    <w:bookmarkStart w:id="42" w:name="benefits-from-recycling-avoided-burden"/>
    <w:p>
      <w:pPr>
        <w:pStyle w:val="Heading4"/>
      </w:pPr>
      <w:r>
        <w:t xml:space="preserve">4.5.2. Benefits from Recycling (Avoided Burden)</w:t>
      </w:r>
    </w:p>
    <w:p>
      <w:pPr>
        <w:pStyle w:val="FirstParagraph"/>
      </w:pPr>
      <w:r>
        <w:t xml:space="preserve">The benefit from recycling is calculated as the avoided production of virgin materials, offset by the emissions associated with the recycling process itself. We assume the BOM\'s Emission Factors represent virgin material production.</w:t>
      </w:r>
    </w:p>
    <w:p>
      <w:pPr>
        <w:numPr>
          <w:ilvl w:val="0"/>
          <w:numId w:val="1015"/>
        </w:numPr>
        <w:pStyle w:val="Compact"/>
      </w:pPr>
      <w:r>
        <w:t xml:space="preserve">Avoided Virgin Material Emissions (for 2.88 kg recycled):</w:t>
      </w:r>
    </w:p>
    <w:p>
      <w:pPr>
        <w:numPr>
          <w:ilvl w:val="1"/>
          <w:numId w:val="1016"/>
        </w:numPr>
        <w:pStyle w:val="Compact"/>
      </w:pPr>
      <w:r>
        <w:t xml:space="preserve">Assuming average virgin material EF from BOM = 9.6 kg CO2e / 3.6 kg = 2.67 kg CO2e/kg (simplified average)</w:t>
      </w:r>
    </w:p>
    <w:p>
      <w:pPr>
        <w:numPr>
          <w:ilvl w:val="1"/>
          <w:numId w:val="1016"/>
        </w:numPr>
        <w:pStyle w:val="Compact"/>
      </w:pPr>
      <w:r>
        <w:t xml:space="preserve">Avoided Emissions: 2.88 kg * 2.67 kg CO2e/kg = 7.69 kg CO2e</w:t>
      </w:r>
    </w:p>
    <w:p>
      <w:pPr>
        <w:numPr>
          <w:ilvl w:val="0"/>
          <w:numId w:val="1015"/>
        </w:numPr>
        <w:pStyle w:val="Compact"/>
      </w:pPr>
      <w:r>
        <w:t xml:space="preserve">Emissions from Recycling Process (illustrative, 0.1 kg CO2e/kg):</w:t>
      </w:r>
    </w:p>
    <w:p>
      <w:pPr>
        <w:numPr>
          <w:ilvl w:val="1"/>
          <w:numId w:val="1017"/>
        </w:numPr>
        <w:pStyle w:val="Compact"/>
      </w:pPr>
      <w:r>
        <w:t xml:space="preserve">Recycling Process Emissions: 2.88 kg * 0.1 kg CO2e/kg = 0.288 kg CO2e</w:t>
      </w:r>
    </w:p>
    <w:p>
      <w:pPr>
        <w:numPr>
          <w:ilvl w:val="0"/>
          <w:numId w:val="1015"/>
        </w:numPr>
        <w:pStyle w:val="Compact"/>
      </w:pPr>
      <w:r>
        <w:t xml:space="preserve">Net Benefit from Recycling: 7.69 kg CO2e (avoided) - 0.288 kg CO2e (process) = 7.402 kg CO2e (as a negative emission, or credit)</w:t>
      </w:r>
    </w:p>
    <w:bookmarkEnd w:id="42"/>
    <w:bookmarkStart w:id="43" w:name="Xbe6cf6248e838e9c7a7b0995b568d744e0187f9"/>
    <w:p>
      <w:pPr>
        <w:pStyle w:val="Heading4"/>
      </w:pPr>
      <w:r>
        <w:t xml:space="preserve">4.5.3. Impact of Circular/Take-back Programs (mpuhqqkmsd)</w:t>
      </w:r>
    </w:p>
    <w:p>
      <w:pPr>
        <w:pStyle w:val="FirstParagraph"/>
      </w:pPr>
      <w:r>
        <w:t xml:space="preserve">The take-back program is estimated to further reduce the End-of-Life impact for the non-recycled portion by 15%. This means a 15% reduction in the waste disposal emissions.</w:t>
      </w:r>
    </w:p>
    <w:p>
      <w:pPr>
        <w:numPr>
          <w:ilvl w:val="0"/>
          <w:numId w:val="1018"/>
        </w:numPr>
        <w:pStyle w:val="Compact"/>
      </w:pPr>
      <w:r>
        <w:t xml:space="preserve">Reduced Waste Disposal Emissions: 0.324 kg CO2e * 0.15 = 0.0486 kg CO2e (reduction)</w:t>
      </w:r>
    </w:p>
    <w:p>
      <w:pPr>
        <w:numPr>
          <w:ilvl w:val="0"/>
          <w:numId w:val="1018"/>
        </w:numPr>
        <w:pStyle w:val="Compact"/>
      </w:pPr>
      <w:r>
        <w:t xml:space="preserve">Adjusted Waste Disposal Emissions: 0.324 kg CO2e - 0.0486 kg CO2e = 0.2754 kg CO2e</w:t>
      </w:r>
    </w:p>
    <w:p>
      <w:pPr>
        <w:pStyle w:val="FirstParagraph"/>
      </w:pPr>
      <w:r>
        <w:t xml:space="preserve">Total End-of-Life Emissions = Adjusted Waste Disposal Emissions - Net Benefit from Recycling</w:t>
      </w:r>
      <w:r>
        <w:t xml:space="preserve"> </w:t>
      </w:r>
      <w:r>
        <w:t xml:space="preserve">Total End-of-Life Emissions = 0.2754 kg CO2e - 7.402 kg CO2e = -7.1266 kg CO2e.</w:t>
      </w:r>
      <w:r>
        <w:t xml:space="preserve"> </w:t>
      </w:r>
      <w:r>
        <w:t xml:space="preserve">(A negative value indicates a net carbon sequestration or avoided emissions at EoL).</w:t>
      </w:r>
    </w:p>
    <w:bookmarkEnd w:id="43"/>
    <w:bookmarkEnd w:id="44"/>
    <w:bookmarkStart w:id="47" w:name="X299a3717db401fbc63eac38de0814f3ad8939f4"/>
    <w:p>
      <w:pPr>
        <w:pStyle w:val="Heading3"/>
      </w:pPr>
      <w:r>
        <w:t xml:space="preserve">4.6.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9.6</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3.6</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0.612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-7.1266</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44.1854 kg CO2e</w:t>
            </w:r>
          </w:p>
        </w:tc>
      </w:tr>
    </w:tbl>
    <w:bookmarkStart w:id="45" w:name="X613752f2827544121fb6a4168ef6cdbf8a05425"/>
    <w:p>
      <w:pPr>
        <w:pStyle w:val="Heading4"/>
      </w:pPr>
      <w:r>
        <w:t xml:space="preserve">4.7. GHG Protocol Scope 3 Compliance (2026 Requirements)</w:t>
      </w:r>
    </w:p>
    <w:p>
      <w:pPr>
        <w:pStyle w:val="FirstParagraph"/>
      </w:pPr>
      <w:r>
        <w:t xml:space="preserve">This analysis demonstrates significant coverage of Scope 3 emissions, including Raw Material Acquisition, Transportation (both upstream and downstream), Use Phase, and End-of-Life. Based on the detailed breakdown, these categories represent a substantial portion of the product\'s value chain emissions. With careful data collection for all other relevant Scope 3 categories (e.g., business travel, employee commuting, capital goods if relevant to product manufacturing), jmqpsrxixj is well-positioned to achieve the 2026 requirement of at least 95% coverage for Scope 3 reporting.</w:t>
      </w:r>
    </w:p>
    <w:bookmarkEnd w:id="45"/>
    <w:bookmarkStart w:id="46" w:name="lsr-update-application"/>
    <w:p>
      <w:pPr>
        <w:pStyle w:val="Heading4"/>
      </w:pPr>
      <w:r>
        <w:t xml:space="preserve">4.8. 2026 LSR Update Application</w:t>
      </w:r>
    </w:p>
    <w:p>
      <w:pPr>
        <w:pStyle w:val="FirstParagraph"/>
      </w:pPr>
      <w:r>
        <w:t xml:space="preserve">The Land Sector and Removals (LSR) Standard is acknowledged and integrated, particularly in the End-of-Life phase where circularity and material recovery can be viewed as avoiding land use for virgin resource extraction or waste disposal. While specific land use change data was not provided for raw material origins, the avoided emissions from recycling contribute to the objectives of the LSR by reducing the demand for new land-intensive extraction. Future analyses should focus on direct land use impacts if materials with significant land footprint (e.g., bio-based materials) are introduced.</w:t>
      </w:r>
    </w:p>
    <w:p>
      <w:r>
        <w:pict>
          <v:rect style="width:0;height:1.5pt" o:hralign="center" o:hrstd="t" o:hr="t"/>
        </w:pict>
      </w:r>
    </w:p>
    <w:bookmarkEnd w:id="46"/>
    <w:bookmarkEnd w:id="47"/>
    <w:bookmarkEnd w:id="48"/>
    <w:bookmarkStart w:id="51" w:name="review-report"/>
    <w:p>
      <w:pPr>
        <w:pStyle w:val="Heading2"/>
      </w:pPr>
      <w:r>
        <w:t xml:space="preserve">5. Review &amp; Report</w:t>
      </w:r>
    </w:p>
    <w:bookmarkStart w:id="49" w:name="hotspots-analysis"/>
    <w:p>
      <w:pPr>
        <w:pStyle w:val="Heading3"/>
      </w:pPr>
      <w:r>
        <w:t xml:space="preserve">5.1. Hotspots Analysis</w:t>
      </w:r>
    </w:p>
    <w:p>
      <w:pPr>
        <w:pStyle w:val="FirstParagraph"/>
      </w:pPr>
      <w:r>
        <w:t xml:space="preserve">The primary carbon hotspots for qkmsuyvtks are identified as:</w:t>
      </w:r>
    </w:p>
    <w:p>
      <w:pPr>
        <w:numPr>
          <w:ilvl w:val="0"/>
          <w:numId w:val="1019"/>
        </w:numPr>
        <w:pStyle w:val="Compact"/>
      </w:pPr>
      <w:r>
        <w:rPr>
          <w:bCs/>
          <w:b/>
        </w:rPr>
        <w:t xml:space="preserve">Use Phase (37.5 kg CO2e):</w:t>
      </w:r>
      <w:r>
        <w:t xml:space="preserve"> </w:t>
      </w:r>
      <w:r>
        <w:t xml:space="preserve">This is the most significant contributor, primarily due to the product\'s energy consumption over its 3-year lifespan. This highlights the importance of energy-efficient design and promoting renewable energy adoption by end-users.</w:t>
      </w:r>
    </w:p>
    <w:p>
      <w:pPr>
        <w:numPr>
          <w:ilvl w:val="0"/>
          <w:numId w:val="1019"/>
        </w:numPr>
        <w:pStyle w:val="Compact"/>
      </w:pPr>
      <w:r>
        <w:rPr>
          <w:bCs/>
          <w:b/>
        </w:rPr>
        <w:t xml:space="preserve">Raw Material Acquisition (9.6 kg CO2e):</w:t>
      </w:r>
      <w:r>
        <w:t xml:space="preserve"> </w:t>
      </w:r>
      <w:r>
        <w:t xml:space="preserve">Emissions associated with extracting and processing virgin materials contribute substantially. Sourcing lower-carbon materials or increasing recycled content (beyond EoL recycling efforts) could reduce this impact.</w:t>
      </w:r>
    </w:p>
    <w:p>
      <w:pPr>
        <w:numPr>
          <w:ilvl w:val="0"/>
          <w:numId w:val="1019"/>
        </w:numPr>
        <w:pStyle w:val="Compact"/>
      </w:pPr>
      <w:r>
        <w:rPr>
          <w:bCs/>
          <w:b/>
        </w:rPr>
        <w:t xml:space="preserve">Manufacturing (Scope 2) (3.6 kg CO2e):</w:t>
      </w:r>
      <w:r>
        <w:t xml:space="preserve"> </w:t>
      </w:r>
      <w:r>
        <w:t xml:space="preserve">While jmqpsrxixj has a 60% renewable energy usage, the remaining grid electricity from China\'s average mix still contributes significantly. Increasing renewable energy procurement or improving energy efficiency in production are key levers.</w:t>
      </w:r>
    </w:p>
    <w:bookmarkEnd w:id="49"/>
    <w:bookmarkStart w:id="50" w:name="reliability-and-limitations"/>
    <w:p>
      <w:pPr>
        <w:pStyle w:val="Heading3"/>
      </w:pPr>
      <w:r>
        <w:t xml:space="preserve">5.2. Reliability and Limitations</w:t>
      </w:r>
    </w:p>
    <w:p>
      <w:pPr>
        <w:pStyle w:val="FirstParagraph"/>
      </w:pPr>
      <w:r>
        <w:t xml:space="preserve">The reliability of this PCF analysis is high for the explicitly provided parameters. However, certain limitations exist due to the illustrative nature of some placeholder data and reliance on secondary emission factors:</w:t>
      </w:r>
    </w:p>
    <w:p>
      <w:pPr>
        <w:numPr>
          <w:ilvl w:val="0"/>
          <w:numId w:val="1020"/>
        </w:numPr>
        <w:pStyle w:val="Compact"/>
      </w:pPr>
      <w:r>
        <w:rPr>
          <w:bCs/>
          <w:b/>
        </w:rPr>
        <w:t xml:space="preserve">Illustrative Data:</w:t>
      </w:r>
      <w:r>
        <w:t xml:space="preserve"> </w:t>
      </w:r>
      <w:r>
        <w:t xml:space="preserve">For parameters like \'nwkfkrjq\' (BOM string), \'Select Mode\', \'opmiepfyhd\', \'Delivery Type\', \'pyzqtfqzit\', \'keptggessn\', \'yezfnnydgm\', \'pxveofhfpf\', \'ftqumeuyej\', and \'mpuhqqkmsd\', illustrative values and assumptions were made in lieu of specific, quantifiable input. These assumptions directly influence the calculated footprint.</w:t>
      </w:r>
    </w:p>
    <w:p>
      <w:pPr>
        <w:numPr>
          <w:ilvl w:val="0"/>
          <w:numId w:val="1020"/>
        </w:numPr>
        <w:pStyle w:val="Compact"/>
      </w:pPr>
      <w:r>
        <w:rPr>
          <w:bCs/>
          <w:b/>
        </w:rPr>
        <w:t xml:space="preserve">Generic Emission Factors:</w:t>
      </w:r>
      <w:r>
        <w:t xml:space="preserve"> </w:t>
      </w:r>
      <w:r>
        <w:t xml:space="preserve">While industry-standard (Ecoinvent/DEFRA equivalent) emission factors were used, specific supplier-level or country-specific data could further enhance accuracy, especially for materials and energy grids.</w:t>
      </w:r>
    </w:p>
    <w:p>
      <w:pPr>
        <w:numPr>
          <w:ilvl w:val="0"/>
          <w:numId w:val="1020"/>
        </w:numPr>
        <w:pStyle w:val="Compact"/>
      </w:pPr>
      <w:r>
        <w:rPr>
          <w:bCs/>
          <w:b/>
        </w:rPr>
        <w:t xml:space="preserve">LSR Standard:</w:t>
      </w:r>
      <w:r>
        <w:t xml:space="preserve"> </w:t>
      </w:r>
      <w:r>
        <w:t xml:space="preserve">While applied conceptually, without specific land use change data related to raw material sourcing or land carbon removals associated with product design choices, the quantitative impact of LSR is limited to avoided emissions from circularity.</w:t>
      </w:r>
    </w:p>
    <w:p>
      <w:pPr>
        <w:pStyle w:val="FirstParagraph"/>
      </w:pPr>
      <w:r>
        <w:t xml:space="preserve">Future iterations should aim to incorporate more primary and supplier-specific data to refine the accuracy of the PCF.</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qkmsuyvtks</dc:title>
  <dc:creator/>
  <dc:description>High-detail Product Carbon Footprint (PCF) analysis for product qkmsuyvtks, conducted by Senior Sustainability Consultant leqyivmiup for jmqpsrxixj, adhering to GHG Protocol standards and 2026 LSR updates.</dc:description>
  <dc:language>en</dc:language>
  <cp:keywords/>
  <dcterms:created xsi:type="dcterms:W3CDTF">2026-07-15T07:06:57Z</dcterms:created>
  <dcterms:modified xsi:type="dcterms:W3CDTF">2026-07-15T07:06:57Z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