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qkexnqqlpn</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qkexnqqlpn (Smart Home Hub)**</w:t>
      </w:r>
    </w:p>
    <w:p>
      <w:pPr>
        <w:pStyle w:val="BodyText"/>
      </w:pPr>
      <w:r>
        <w:t xml:space="preserve">**Company: nprwsgjoil**</w:t>
      </w:r>
    </w:p>
    <w:p>
      <w:pPr>
        <w:pStyle w:val="BodyText"/>
      </w:pPr>
      <w:r>
        <w:t xml:space="preserve">**Senior Sustainability Consultant: nismfqnvgu**</w:t>
      </w:r>
    </w:p>
    <w:p>
      <w:pPr>
        <w:pStyle w:val="BodyText"/>
      </w:pPr>
      <w:r>
        <w:t xml:space="preserve">Protocol Data (Accounting Standard): GHG Protocol</w:t>
      </w:r>
    </w:p>
    <w:p>
      <w:pPr>
        <w:pStyle w:val="BodyText"/>
      </w:pPr>
      <w:r>
        <w:t xml:space="preserve">Disclaimer: This report is generated based on available data and industry standards. All numerical values for inputs are illustrative examples designed to demonstrate the methodology and are not actual measurements unless explicitly stated as such. Emission factors are sourced from recognized databases or are plausible estimates reflecting industry averages, as indicated by citations.</w:t>
      </w:r>
    </w:p>
    <w:bookmarkEnd w:id="20"/>
    <w:bookmarkStart w:id="21" w:name="X9d210e65e4f0b268761ea2ae01a1ee0ae76ca5c"/>
    <w:p>
      <w:pPr>
        <w:pStyle w:val="Heading1"/>
      </w:pPr>
      <w:r>
        <w:t xml:space="preserve">Product Carbon Footprint Analysis: qkexnqqlpn (Smart Home Hub)</w:t>
      </w:r>
    </w:p>
    <w:p>
      <w:pPr>
        <w:pStyle w:val="FirstParagraph"/>
      </w:pPr>
      <w:r>
        <w:t xml:space="preserve">Generated Date: June 2, 2026</w:t>
      </w:r>
    </w:p>
    <w:bookmarkEnd w:id="21"/>
    <w:p>
      <w:pPr>
        <w:pStyle w:val="BodyText"/>
      </w:pPr>
      <w:r>
        <w:t xml:space="preserve">As **nismfqnvgu**, a Senior Sustainability Consultant specializing in GHG Protocol for **nprwsgjoil**, this report presents a high-detail Product Carbon Footprint (PCF) analysis for the product **qkexnqqlpn (Smart Home Hub)**. The analysis adheres strictly to the GHG Protocol standards, incorporating the latest 2026 Land Sector and Removals (LSR) update for land use and carbon removals, and ensuring a comprehensive Scope 3 coverage. This report aims to identify emission hotspots across the product\'s lifecycle and provide a reliable baseline for strategic sustainability initiatives.</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Product Carbon Footprint (PCF) analysis for the qkexnqqlpn Smart Home Hub quantifies its greenhouse gas (GHG) emissions across its entire lifecycle, from material acquisition to end-of-life. The total cradle-to-grave PCF for one functional unit of the qkexnqqlpn Smart Home Hub is estimated at **8.95 kgCO2e**. The largest contribution to this footprint comes from the product\'s use phase, primarily due to electricity consumption over its estimated 5-year lifespan. Materials production and end-of-life disposal also represent significant, albeit smaller, contributors. Upstream transportation and manufacturing energy contribute minimally. This report categorizes emissions according to the GHG Protocol\'s Scope 1, 2, and 3, with a strong focus on granular Scope 3 data to meet the 2026 compliance requirements.</w:t>
      </w:r>
    </w:p>
    <w:p>
      <w:r>
        <w:pict>
          <v:rect style="width:0;height:1.5pt" o:hralign="center" o:hrstd="t" o:hr="t"/>
        </w:pict>
      </w:r>
    </w:p>
    <w:bookmarkEnd w:id="22"/>
    <w:bookmarkStart w:id="23" w:name="methodology-overview"/>
    <w:p>
      <w:pPr>
        <w:pStyle w:val="Heading2"/>
      </w:pPr>
      <w:r>
        <w:t xml:space="preserve">2. Methodology Overview</w:t>
      </w:r>
    </w:p>
    <w:p>
      <w:pPr>
        <w:pStyle w:val="FirstParagraph"/>
      </w:pPr>
      <w:r>
        <w:t xml:space="preserve">The PCF analysis followed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 cycle stages and associated inventory items.</w:t>
      </w:r>
    </w:p>
    <w:p>
      <w:pPr>
        <w:numPr>
          <w:ilvl w:val="0"/>
          <w:numId w:val="1001"/>
        </w:numPr>
        <w:pStyle w:val="Compact"/>
      </w:pPr>
      <w:r>
        <w:rPr>
          <w:bCs/>
          <w:b/>
        </w:rPr>
        <w:t xml:space="preserve">Collect Data:</w:t>
      </w:r>
      <w:r>
        <w:t xml:space="preserve"> </w:t>
      </w:r>
      <w:r>
        <w:t xml:space="preserve">Gather primary and secondary data points for material and energy flows.</w:t>
      </w:r>
    </w:p>
    <w:p>
      <w:pPr>
        <w:numPr>
          <w:ilvl w:val="0"/>
          <w:numId w:val="1001"/>
        </w:numPr>
        <w:pStyle w:val="Compact"/>
      </w:pPr>
      <w:r>
        <w:rPr>
          <w:bCs/>
          <w:b/>
        </w:rPr>
        <w:t xml:space="preserve">Calculate Emissions:</w:t>
      </w:r>
      <w:r>
        <w:t xml:space="preserve"> </w:t>
      </w:r>
      <w:r>
        <w:t xml:space="preserve">Quantify GHG emissions using activity data multiplied by relevant emission factors.</w:t>
      </w:r>
    </w:p>
    <w:p>
      <w:pPr>
        <w:numPr>
          <w:ilvl w:val="0"/>
          <w:numId w:val="1001"/>
        </w:numPr>
        <w:pStyle w:val="Compact"/>
      </w:pPr>
      <w:r>
        <w:rPr>
          <w:bCs/>
          <w:b/>
        </w:rPr>
        <w:t xml:space="preserve">Review &amp; Report:</w:t>
      </w:r>
      <w:r>
        <w:t xml:space="preserve"> </w:t>
      </w:r>
      <w:r>
        <w:t xml:space="preserve">Identify emission hotspots, assess data reliability, and present findings.</w:t>
      </w:r>
    </w:p>
    <w:p>
      <w:pPr>
        <w:pStyle w:val="FirstParagraph"/>
      </w:pPr>
      <w:r>
        <w:rPr>
          <w:bCs/>
          <w:b/>
        </w:rPr>
        <w:t xml:space="preserve">Accounting Standard:</w:t>
      </w:r>
      <w:r>
        <w:t xml:space="preserve"> </w:t>
      </w:r>
      <w:r>
        <w:t xml:space="preserve">This analysis strictly adheres to the **GHG Protocol Product Standard**. Emissions are categorized into Scope 1 (direct emissions), Scope 2 (indirect emissions from purchased energy), and Scope 3 (all other indirect emissions across the value chain).</w:t>
      </w:r>
    </w:p>
    <w:p>
      <w:pPr>
        <w:pStyle w:val="BodyText"/>
      </w:pPr>
      <w:r>
        <w:rPr>
          <w:bCs/>
          <w:b/>
        </w:rPr>
        <w:t xml:space="preserve">2026 LSR Update:</w:t>
      </w:r>
      <w:r>
        <w:t xml:space="preserve"> </w:t>
      </w:r>
      <w:r>
        <w:t xml:space="preserve">The Land Sector and Removals (LSR) Standard for land use and carbon removals is applied by considering the biogenic carbon cycle implicitly within chosen emission factors for materials like cardboard. Direct land use change impacts are assumed negligible for the defined system boundary.</w:t>
      </w:r>
    </w:p>
    <w:p>
      <w:pPr>
        <w:pStyle w:val="BodyText"/>
      </w:pPr>
      <w:r>
        <w:rPr>
          <w:bCs/>
          <w:b/>
        </w:rPr>
        <w:t xml:space="preserve">Scope 3 Compliance:</w:t>
      </w:r>
      <w:r>
        <w:t xml:space="preserve"> </w:t>
      </w:r>
      <w:r>
        <w:t xml:space="preserve">Emphasis has been placed on achieving at least 95% coverage for Scope 3 reporting, reflecting the stringent 2026 requirements, through detailed data collection and robust estimation for all relevant upstream and downstream activities.</w:t>
      </w:r>
    </w:p>
    <w:p>
      <w:r>
        <w:pict>
          <v:rect style="width:0;height:1.5pt" o:hralign="center" o:hrstd="t" o:hr="t"/>
        </w:pict>
      </w:r>
    </w:p>
    <w:bookmarkEnd w:id="23"/>
    <w:bookmarkStart w:id="24"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qkexnqqlpn (Smart Home Hub)</w:t>
      </w:r>
    </w:p>
    <w:p>
      <w:pPr>
        <w:numPr>
          <w:ilvl w:val="0"/>
          <w:numId w:val="1002"/>
        </w:numPr>
        <w:pStyle w:val="Compact"/>
      </w:pPr>
      <w:r>
        <w:rPr>
          <w:bCs/>
          <w:b/>
        </w:rPr>
        <w:t xml:space="preserve">System Boundary:</w:t>
      </w:r>
      <w:r>
        <w:t xml:space="preserve"> </w:t>
      </w:r>
      <w:r>
        <w:t xml:space="preserve">Cradle-to-grave (factory_gate). This includes raw material extraction, manufacturing, transportation to market, product use phase, and end-of-life treatment.</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(for downstream elements like use phase energy)</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GHG Protocol Categorization:</w:t>
      </w:r>
    </w:p>
    <w:p>
      <w:pPr>
        <w:numPr>
          <w:ilvl w:val="1"/>
          <w:numId w:val="1004"/>
        </w:numPr>
        <w:pStyle w:val="Compact"/>
      </w:pPr>
      <w:r>
        <w:rPr>
          <w:bCs/>
          <w:b/>
        </w:rPr>
        <w:t xml:space="preserve">Scope 1:</w:t>
      </w:r>
      <w:r>
        <w:t xml:space="preserve"> </w:t>
      </w:r>
      <w:r>
        <w:t xml:space="preserve">Direct emissions from owned or controlled sources. For this product, direct combustion emissions at the manufacturing facility are assumed to be negligible or covered by Scope 2 for purchased energy.</w:t>
      </w:r>
    </w:p>
    <w:p>
      <w:pPr>
        <w:numPr>
          <w:ilvl w:val="1"/>
          <w:numId w:val="1004"/>
        </w:numPr>
        <w:pStyle w:val="Compact"/>
      </w:pPr>
      <w:r>
        <w:rPr>
          <w:bCs/>
          <w:b/>
        </w:rPr>
        <w:t xml:space="preserve">Scope 2:</w:t>
      </w:r>
      <w:r>
        <w:t xml:space="preserve"> </w:t>
      </w:r>
      <w:r>
        <w:t xml:space="preserve">Indirect emissions from the generation of purchased electricity, heat, or steam consumed by the reporting company. This includes electricity consumed during the manufacturing of the product.</w:t>
      </w:r>
    </w:p>
    <w:p>
      <w:pPr>
        <w:numPr>
          <w:ilvl w:val="1"/>
          <w:numId w:val="1004"/>
        </w:numPr>
        <w:pStyle w:val="Compact"/>
      </w:pPr>
      <w:r>
        <w:rPr>
          <w:bCs/>
          <w:b/>
        </w:rPr>
        <w:t xml:space="preserve">Scope 3:</w:t>
      </w:r>
      <w:r>
        <w:t xml:space="preserve"> </w:t>
      </w:r>
      <w:r>
        <w:t xml:space="preserve">All other indirect emissions that occur in the value chain of the reporting company, both upstream and downstream. This covers purchased goods and services (materials), upstream and downstream transportation and distribution, use of sold products, and end-of-life treatment of sold products.</w:t>
      </w:r>
    </w:p>
    <w:p>
      <w:pPr>
        <w:numPr>
          <w:ilvl w:val="0"/>
          <w:numId w:val="1002"/>
        </w:numPr>
        <w:pStyle w:val="Compact"/>
      </w:pPr>
      <w:r>
        <w:rPr>
          <w:bCs/>
          <w:b/>
        </w:rPr>
        <w:t xml:space="preserve">Allocation:</w:t>
      </w:r>
      <w:r>
        <w:t xml:space="preserve"> </w:t>
      </w:r>
      <w:r>
        <w:t xml:space="preserve">All emissions are allocated directly to the functional unit based on mass or energy consumption.</w:t>
      </w:r>
    </w:p>
    <w:p>
      <w:r>
        <w:pict>
          <v:rect style="width:0;height:1.5pt" o:hralign="center" o:hrstd="t" o:hr="t"/>
        </w:pict>
      </w:r>
    </w:p>
    <w:bookmarkEnd w:id="24"/>
    <w:bookmarkStart w:id="31" w:name="X1b7031aaf9d3ec7631c8b88e4e268c4190343e5"/>
    <w:p>
      <w:pPr>
        <w:pStyle w:val="Heading2"/>
      </w:pPr>
      <w:r>
        <w:t xml:space="preserve">4. Lifecycle Mapping &amp; Data Collection (Steps 2 &amp; 3)</w:t>
      </w:r>
    </w:p>
    <w:p>
      <w:pPr>
        <w:pStyle w:val="FirstParagraph"/>
      </w:pPr>
      <w:r>
        <w:t xml:space="preserve">This section details the inventory of materials and energy inputs across the product\'s lifecycle stages. The numerical values presented are illustrative, derived from the provided parameters and plausible industry-standard emission factors to demonstrate the methodology.</w:t>
      </w:r>
    </w:p>
    <w:bookmarkStart w:id="26" w:name="Xf758c36f65a430ed007d2e874ffb5e9fddf8b89"/>
    <w:p>
      <w:pPr>
        <w:pStyle w:val="Heading3"/>
      </w:pPr>
      <w:r>
        <w:t xml:space="preserve">4.1. Materials Acquisition &amp; Manufacturing (Scope 3 - Purchased Goods &amp; Services)</w:t>
      </w:r>
    </w:p>
    <w:p>
      <w:pPr>
        <w:pStyle w:val="FirstParagraph"/>
      </w:pPr>
      <w:r>
        <w:t xml:space="preserve">The Detailed Bill of Materials (BOM) for the qkexnqqlpn Smart Home Hub is utilized to calculate the material-related emissions. Emission factors are primarily drawn from established databases like Ecoinvent and DEFRA equivalents for cradle-to-gate impacts of raw materials. The BOM data provided is parsed and applied as specified by the user.</w:t>
      </w:r>
    </w:p>
    <w:bookmarkStart w:id="25" w:name="detailed-bill-of-materials-bom-breakdown"/>
    <w:p>
      <w:pPr>
        <w:pStyle w:val="Heading4"/>
      </w:pPr>
      <w:r>
        <w:t xml:space="preserve">Detailed Bill of Materials (BOM) Breakdown</w:t>
      </w:r>
    </w:p>
    <w:p>
      <w:pPr>
        <w:pStyle w:val="FirstParagraph"/>
      </w:pPr>
      <w:r>
        <w:t xml:space="preserve">The following table presents the individual components, their quantities, and associated cradle-to-gate carbon footprints.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r>
              <w:t xml:space="preserve"> </w:t>
            </w:r>
            <w:r>
              <w:rPr>
                <w:vertAlign w:val="superscript"/>
              </w:rPr>
              <w:t xml:space="preserve">*</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r>
              <w:t xml:space="preserve"> </w:t>
            </w:r>
            <w:r>
              <w:rPr>
                <w:vertAlign w:val="superscript"/>
              </w:rPr>
              <w:t xml:space="preserve">*</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Lithium-ion</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6.31</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r>
              <w:t xml:space="preserve"> </w:t>
            </w:r>
            <w:r>
              <w:rPr>
                <w:vertAlign w:val="superscript"/>
              </w:rPr>
              <w:t xml:space="preserve">*</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w:t>
            </w:r>
          </w:p>
        </w:tc>
      </w:tr>
    </w:tbl>
    <w:p>
      <w:pPr>
        <w:pStyle w:val="BodyText"/>
      </w:pPr>
      <w:r>
        <w:rPr>
          <w:vertAlign w:val="superscript"/>
        </w:rPr>
        <w:t xml:space="preserve">*</w:t>
      </w:r>
      <w:r>
        <w:t xml:space="preserve"> </w:t>
      </w:r>
      <w:r>
        <w:t xml:space="preserve">Emission factor is an assumed plausible industry estimate for demonstration, consistent with user-provided BOM format, in lieu of specific external database reference for this illustrative data point.</w:t>
      </w:r>
    </w:p>
    <w:p>
      <w:pPr>
        <w:pStyle w:val="BodyText"/>
      </w:pPr>
      <w:r>
        <w:rPr>
          <w:bCs/>
          <w:b/>
        </w:rPr>
        <w:t xml:space="preserve">Total Material Emissions: 2.69 kgCO2e</w:t>
      </w:r>
    </w:p>
    <w:bookmarkEnd w:id="25"/>
    <w:bookmarkEnd w:id="26"/>
    <w:bookmarkStart w:id="27" w:name="production-energy-scope-2"/>
    <w:p>
      <w:pPr>
        <w:pStyle w:val="Heading3"/>
      </w:pPr>
      <w:r>
        <w:t xml:space="preserve">4.2. Production Energy (Scope 2)</w:t>
      </w:r>
    </w:p>
    <w:p>
      <w:pPr>
        <w:pStyle w:val="FirstParagraph"/>
      </w:pPr>
      <w:r>
        <w:t xml:space="preserve">Energy consumption during the production phase is a direct emission source for the manufacturing facility. The analysis incorporates the specified energy intensity and renewable energy usage.</w:t>
      </w:r>
    </w:p>
    <w:p>
      <w:pPr>
        <w:numPr>
          <w:ilvl w:val="0"/>
          <w:numId w:val="1005"/>
        </w:numPr>
        <w:pStyle w:val="Compact"/>
      </w:pPr>
      <w:r>
        <w:t xml:space="preserve">Energy Intensity (kWh/unit): 0.8 kWh/unit</w:t>
      </w:r>
    </w:p>
    <w:p>
      <w:pPr>
        <w:numPr>
          <w:ilvl w:val="0"/>
          <w:numId w:val="1005"/>
        </w:numPr>
        <w:pStyle w:val="Compact"/>
      </w:pPr>
      <w:r>
        <w:t xml:space="preserve">Renewable Energy Usage: 75%</w:t>
      </w:r>
    </w:p>
    <w:p>
      <w:pPr>
        <w:numPr>
          <w:ilvl w:val="0"/>
          <w:numId w:val="1005"/>
        </w:numPr>
        <w:pStyle w:val="Compact"/>
      </w:pPr>
      <w:r>
        <w:t xml:space="preserve">Non-renewable electricity consumed: 0.8 kWh/unit * (1 - 0.75) = 0.2 kWh/unit</w:t>
      </w:r>
    </w:p>
    <w:p>
      <w:pPr>
        <w:numPr>
          <w:ilvl w:val="0"/>
          <w:numId w:val="1005"/>
        </w:numPr>
        <w:pStyle w:val="Compact"/>
      </w:pPr>
      <w:r>
        <w:t xml:space="preserve">Geographic Scope (Production): China</w:t>
      </w:r>
    </w:p>
    <w:p>
      <w:pPr>
        <w:numPr>
          <w:ilvl w:val="0"/>
          <w:numId w:val="1005"/>
        </w:numPr>
        <w:pStyle w:val="Compact"/>
      </w:pPr>
      <w:r>
        <w:t xml:space="preserve">China Grid Emission Factor: 0.556 kgCO2e/kWh</w:t>
      </w:r>
    </w:p>
    <w:p>
      <w:pPr>
        <w:pStyle w:val="FirstParagraph"/>
      </w:pPr>
      <w:r>
        <w:rPr>
          <w:bCs/>
          <w:b/>
        </w:rPr>
        <w:t xml:space="preserve">Total Production Energy Emissions: 0.11 kgCO2e</w:t>
      </w:r>
    </w:p>
    <w:bookmarkEnd w:id="27"/>
    <w:bookmarkStart w:id="28" w:name="Xb28e6b746c55ccee7c13ebe725ade644fd176e6"/>
    <w:p>
      <w:pPr>
        <w:pStyle w:val="Heading3"/>
      </w:pPr>
      <w:r>
        <w:t xml:space="preserve">4.3. Transportation &amp; Distribution (Scope 3 - Upstream &amp; Downstream)</w:t>
      </w:r>
    </w:p>
    <w:p>
      <w:pPr>
        <w:pStyle w:val="FirstParagraph"/>
      </w:pPr>
      <w:r>
        <w:t xml:space="preserve">Logistics data is incorporated into the supply chain analysis, covering both upstream delivery of components and downstream distribution of the finished product. The total mass of the product (excluding packaging for calculation of product transport, but including it for overall EoL) is approximately 0.34 kg.</w:t>
      </w:r>
    </w:p>
    <w:p>
      <w:pPr>
        <w:numPr>
          <w:ilvl w:val="0"/>
          <w:numId w:val="1006"/>
        </w:numPr>
        <w:pStyle w:val="Compact"/>
      </w:pPr>
      <w:r>
        <w:rPr>
          <w:bCs/>
          <w:b/>
        </w:rPr>
        <w:t xml:space="preserve">Main Transport:</w:t>
      </w:r>
    </w:p>
    <w:p>
      <w:pPr>
        <w:numPr>
          <w:ilvl w:val="1"/>
          <w:numId w:val="1007"/>
        </w:numPr>
        <w:pStyle w:val="Compact"/>
      </w:pPr>
      <w:r>
        <w:t xml:space="preserve">Mode: Ocean Freight</w:t>
      </w:r>
    </w:p>
    <w:p>
      <w:pPr>
        <w:numPr>
          <w:ilvl w:val="1"/>
          <w:numId w:val="1007"/>
        </w:numPr>
        <w:pStyle w:val="Compact"/>
      </w:pPr>
      <w:r>
        <w:t xml:space="preserve">Distance: 15,000 km</w:t>
      </w:r>
    </w:p>
    <w:p>
      <w:pPr>
        <w:numPr>
          <w:ilvl w:val="1"/>
          <w:numId w:val="1007"/>
        </w:numPr>
        <w:pStyle w:val="Compact"/>
      </w:pPr>
      <w:r>
        <w:t xml:space="preserve">Ocean Freight Emission Factor: 0.016 kgCO2e/tonne-km</w:t>
      </w:r>
    </w:p>
    <w:p>
      <w:pPr>
        <w:numPr>
          <w:ilvl w:val="1"/>
          <w:numId w:val="1007"/>
        </w:numPr>
        <w:pStyle w:val="Compact"/>
      </w:pPr>
      <w:r>
        <w:t xml:space="preserve">Emissions: 0.00034 tonne * 15,000 km * 0.016 kgCO2e/tonne-km = 0.0816 kgCO2e</w:t>
      </w:r>
    </w:p>
    <w:p>
      <w:pPr>
        <w:numPr>
          <w:ilvl w:val="0"/>
          <w:numId w:val="1006"/>
        </w:numPr>
        <w:pStyle w:val="Compact"/>
      </w:pPr>
      <w:r>
        <w:rPr>
          <w:bCs/>
          <w:b/>
        </w:rPr>
        <w:t xml:space="preserve">Last-Mile Delivery:</w:t>
      </w:r>
    </w:p>
    <w:p>
      <w:pPr>
        <w:numPr>
          <w:ilvl w:val="1"/>
          <w:numId w:val="1008"/>
        </w:numPr>
        <w:pStyle w:val="Compact"/>
      </w:pPr>
      <w:r>
        <w:t xml:space="preserve">Channel: Road Van (Electric)</w:t>
      </w:r>
    </w:p>
    <w:p>
      <w:pPr>
        <w:numPr>
          <w:ilvl w:val="1"/>
          <w:numId w:val="1008"/>
        </w:numPr>
        <w:pStyle w:val="Compact"/>
      </w:pPr>
      <w:r>
        <w:t xml:space="preserve">Distance: 500 km</w:t>
      </w:r>
    </w:p>
    <w:p>
      <w:pPr>
        <w:numPr>
          <w:ilvl w:val="1"/>
          <w:numId w:val="1008"/>
        </w:numPr>
        <w:pStyle w:val="Compact"/>
      </w:pPr>
      <w:r>
        <w:t xml:space="preserve">Electric Van Emission Factor (per tonne-km): 0.058 kgCO2e/tonne-km (derived from 0.058 kgCO2e/km for an average electric van, assuming 1-tonne capacity for per tonne-km conversion)</w:t>
      </w:r>
    </w:p>
    <w:p>
      <w:pPr>
        <w:numPr>
          <w:ilvl w:val="1"/>
          <w:numId w:val="1008"/>
        </w:numPr>
        <w:pStyle w:val="Compact"/>
      </w:pPr>
      <w:r>
        <w:t xml:space="preserve">Emissions: 0.00034 tonne * 500 km * 0.058 kgCO2e/tonne-km = 0.00986 kgCO2e</w:t>
      </w:r>
    </w:p>
    <w:p>
      <w:pPr>
        <w:pStyle w:val="FirstParagraph"/>
      </w:pPr>
      <w:r>
        <w:rPr>
          <w:bCs/>
          <w:b/>
        </w:rPr>
        <w:t xml:space="preserve">Total Transportation Emissions: 0.09 kgCO2e</w:t>
      </w:r>
    </w:p>
    <w:bookmarkEnd w:id="28"/>
    <w:bookmarkStart w:id="29" w:name="use-phase-scope-3---use-of-sold-products"/>
    <w:p>
      <w:pPr>
        <w:pStyle w:val="Heading3"/>
      </w:pPr>
      <w:r>
        <w:t xml:space="preserve">4.4. Use Phase (Scope 3 - Use of Sold Products)</w:t>
      </w:r>
    </w:p>
    <w:p>
      <w:pPr>
        <w:pStyle w:val="FirstParagraph"/>
      </w:pPr>
      <w:r>
        <w:t xml:space="preserve">The use phase significantly contributes to the PCF for electronic devices. This analysis uses specific durability and consumption data.</w:t>
      </w:r>
    </w:p>
    <w:p>
      <w:pPr>
        <w:numPr>
          <w:ilvl w:val="0"/>
          <w:numId w:val="1009"/>
        </w:numPr>
        <w:pStyle w:val="Compact"/>
      </w:pPr>
      <w:r>
        <w:t xml:space="preserve">Product Lifespan: 5 years</w:t>
      </w:r>
    </w:p>
    <w:p>
      <w:pPr>
        <w:numPr>
          <w:ilvl w:val="0"/>
          <w:numId w:val="1009"/>
        </w:numPr>
        <w:pStyle w:val="Compact"/>
      </w:pPr>
      <w:r>
        <w:t xml:space="preserve">Energy Consumption in Use: 5 kWh/year</w:t>
      </w:r>
    </w:p>
    <w:p>
      <w:pPr>
        <w:numPr>
          <w:ilvl w:val="0"/>
          <w:numId w:val="1009"/>
        </w:numPr>
        <w:pStyle w:val="Compact"/>
      </w:pPr>
      <w:r>
        <w:t xml:space="preserve">Total Energy Consumption over Lifespan: 5 kWh/year * 5 years = 25 kWh</w:t>
      </w:r>
    </w:p>
    <w:p>
      <w:pPr>
        <w:numPr>
          <w:ilvl w:val="0"/>
          <w:numId w:val="1009"/>
        </w:numPr>
        <w:pStyle w:val="Compact"/>
      </w:pPr>
      <w:r>
        <w:t xml:space="preserve">Geographic Scope (Use): Europe Focused</w:t>
      </w:r>
    </w:p>
    <w:p>
      <w:pPr>
        <w:numPr>
          <w:ilvl w:val="0"/>
          <w:numId w:val="1009"/>
        </w:numPr>
        <w:pStyle w:val="Compact"/>
      </w:pPr>
      <w:r>
        <w:t xml:space="preserve">European Average Grid Emission Factor: 0.238 kgCO2e/kWh</w:t>
      </w:r>
    </w:p>
    <w:p>
      <w:pPr>
        <w:pStyle w:val="FirstParagraph"/>
      </w:pPr>
      <w:r>
        <w:rPr>
          <w:bCs/>
          <w:b/>
        </w:rPr>
        <w:t xml:space="preserve">Total Use Phase Emissions: 5.95 kgCO2e</w:t>
      </w:r>
    </w:p>
    <w:bookmarkEnd w:id="29"/>
    <w:bookmarkStart w:id="30" w:name="Xc3456190584f7ccba4e436ac9dec7d219320967"/>
    <w:p>
      <w:pPr>
        <w:pStyle w:val="Heading3"/>
      </w:pPr>
      <w:r>
        <w:t xml:space="preserve">4.5. End-of-Life (EoL) Scenarios (Scope 3 - End-of-Life Treatment of Sold Products)</w:t>
      </w:r>
    </w:p>
    <w:p>
      <w:pPr>
        <w:pStyle w:val="FirstParagraph"/>
      </w:pPr>
      <w:r>
        <w:t xml:space="preserve">End-of-life scenarios reflect circular economy impacts, considering recyclability and take-back programs. The GHG Protocol advises against deducting avoided emissions from the scope 3 inventory, instead recommending separate reporting for clarity on the operational footprint. For the purpose of this PCF total, only direct emissions from disposal are included.</w:t>
      </w:r>
    </w:p>
    <w:p>
      <w:pPr>
        <w:numPr>
          <w:ilvl w:val="0"/>
          <w:numId w:val="1010"/>
        </w:numPr>
        <w:pStyle w:val="Compact"/>
      </w:pPr>
      <w:r>
        <w:t xml:space="preserve">Total Product Mass (Product + Packaging): 0.34 kg + 0.15 kg = 0.49 kg</w:t>
      </w:r>
    </w:p>
    <w:p>
      <w:pPr>
        <w:numPr>
          <w:ilvl w:val="0"/>
          <w:numId w:val="1010"/>
        </w:numPr>
        <w:pStyle w:val="Compact"/>
      </w:pPr>
      <w:r>
        <w:t xml:space="preserve">Recyclability Percentage: 80%</w:t>
      </w:r>
    </w:p>
    <w:p>
      <w:pPr>
        <w:numPr>
          <w:ilvl w:val="0"/>
          <w:numId w:val="1010"/>
        </w:numPr>
        <w:pStyle w:val="Compact"/>
      </w:pPr>
      <w:r>
        <w:t xml:space="preserve">Circular/Take-back Programs: Product Take-back Program</w:t>
      </w:r>
    </w:p>
    <w:p>
      <w:pPr>
        <w:pStyle w:val="FirstParagraph"/>
      </w:pPr>
      <w:r>
        <w:t xml:space="preserve">Assuming 20% of the product (0.098 kg) is disposed of (e.g., to landfill/incineration), and using a general emission factor for mixed waste disposal (e.g., 1.0 kgCO2e/kg):</w:t>
      </w:r>
    </w:p>
    <w:p>
      <w:pPr>
        <w:numPr>
          <w:ilvl w:val="0"/>
          <w:numId w:val="1011"/>
        </w:numPr>
        <w:pStyle w:val="Compact"/>
      </w:pPr>
      <w:r>
        <w:t xml:space="preserve">Disposal Emissions: 0.098 kg * 1.0 kgCO2e/kg = 0.098 kgCO2e</w:t>
      </w:r>
    </w:p>
    <w:p>
      <w:pPr>
        <w:pStyle w:val="FirstParagraph"/>
      </w:pPr>
      <w:r>
        <w:rPr>
          <w:bCs/>
          <w:b/>
        </w:rPr>
        <w:t xml:space="preserve">Total EoL (Disposal) Emissions: 0.10 kgCO2e</w:t>
      </w:r>
    </w:p>
    <w:p>
      <w:pPr>
        <w:pStyle w:val="BodyText"/>
      </w:pPr>
      <w:r>
        <w:rPr>
          <w:iCs/>
          <w:i/>
        </w:rPr>
        <w:t xml:space="preserve">Note on Recycling Credit:</w:t>
      </w:r>
      <w:r>
        <w:t xml:space="preserve"> </w:t>
      </w:r>
      <w:r>
        <w:t xml:space="preserve">While not deducted from the PCF total per GHG Protocol guidance, the high recyclability (80%) and existence of a Product Take-back Program are significant circular economy impacts. A theoretical avoided emissions credit from recycling, if reported separately, could be substantial (e.g., 1.01 kgCO2e credit based on avoided virgin material production).</w:t>
      </w:r>
    </w:p>
    <w:p>
      <w:r>
        <w:pict>
          <v:rect style="width:0;height:1.5pt" o:hralign="center" o:hrstd="t" o:hr="t"/>
        </w:pict>
      </w:r>
    </w:p>
    <w:bookmarkEnd w:id="30"/>
    <w:bookmarkEnd w:id="31"/>
    <w:bookmarkStart w:id="34" w:name="emissions-calculation-step-4"/>
    <w:p>
      <w:pPr>
        <w:pStyle w:val="Heading2"/>
      </w:pPr>
      <w:r>
        <w:t xml:space="preserve">5. Emissions Calculation (Step 4)</w:t>
      </w:r>
    </w:p>
    <w:p>
      <w:pPr>
        <w:pStyle w:val="FirstParagraph"/>
      </w:pPr>
      <w:r>
        <w:t xml:space="preserve">The total Product Carbon Footprint is calculated by summing emissions from each lifecycle stage, categorized according to the GHG Protocol.</w:t>
      </w:r>
    </w:p>
    <w:bookmarkStart w:id="32" w:name="Xef9e06c3014a8661af06f9d27186191d077dd40"/>
    <w:p>
      <w:pPr>
        <w:pStyle w:val="Heading3"/>
      </w:pPr>
      <w:r>
        <w:t xml:space="preserve">5.1. Total Product Carbon Footprint (PCF) for qkexnqqlpn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Materials Acquisition &amp; Manufacturing</w:t>
            </w:r>
          </w:p>
        </w:tc>
        <w:tc>
          <w:tcPr/>
          <w:p>
            <w:pPr>
              <w:pStyle w:val="Compact"/>
              <w:jc w:val="left"/>
            </w:pPr>
            <w:r>
              <w:t xml:space="preserve">Scope 3 (Category 1: Purchased Goods &amp; Services)</w:t>
            </w:r>
          </w:p>
        </w:tc>
        <w:tc>
          <w:tcPr/>
          <w:p>
            <w:pPr>
              <w:pStyle w:val="Compact"/>
              <w:jc w:val="left"/>
            </w:pPr>
            <w:r>
              <w:t xml:space="preserve">2.69</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0.11</w:t>
            </w:r>
          </w:p>
        </w:tc>
      </w:tr>
      <w:tr>
        <w:tc>
          <w:tcPr/>
          <w:p>
            <w:pPr>
              <w:pStyle w:val="Compact"/>
              <w:jc w:val="left"/>
            </w:pPr>
            <w:r>
              <w:t xml:space="preserve">Transportation &amp; Distribution</w:t>
            </w:r>
          </w:p>
        </w:tc>
        <w:tc>
          <w:tcPr/>
          <w:p>
            <w:pPr>
              <w:pStyle w:val="Compact"/>
              <w:jc w:val="left"/>
            </w:pPr>
            <w:r>
              <w:t xml:space="preserve">Scope 3 (Category 4: Upstream &amp; Downstream T&amp;D)</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5.95</w:t>
            </w:r>
          </w:p>
        </w:tc>
      </w:tr>
      <w:tr>
        <w:tc>
          <w:tcPr/>
          <w:p>
            <w:pPr>
              <w:pStyle w:val="Compact"/>
              <w:jc w:val="left"/>
            </w:pPr>
            <w:r>
              <w:t xml:space="preserve">End-of-Life Treatment (Disposal Only)</w:t>
            </w:r>
          </w:p>
        </w:tc>
        <w:tc>
          <w:tcPr/>
          <w:p>
            <w:pPr>
              <w:pStyle w:val="Compact"/>
              <w:jc w:val="left"/>
            </w:pPr>
            <w:r>
              <w:t xml:space="preserve">Scope 3 (Category 12: End-of-Life Treatment of Sold Products)</w:t>
            </w:r>
          </w:p>
        </w:tc>
        <w:tc>
          <w:tcPr/>
          <w:p>
            <w:pPr>
              <w:pStyle w:val="Compact"/>
              <w:jc w:val="left"/>
            </w:pPr>
            <w:r>
              <w:t xml:space="preserve">0.10</w:t>
            </w:r>
          </w:p>
        </w:tc>
      </w:tr>
      <w:tr>
        <w:tc>
          <w:tcPr/>
          <w:p>
            <w:pPr>
              <w:pStyle w:val="Compact"/>
              <w:jc w:val="left"/>
            </w:pPr>
            <w:r>
              <w:t xml:space="preserve">Total Product Carbon Footprint</w:t>
            </w:r>
          </w:p>
        </w:tc>
        <w:tc>
          <w:tcPr/>
          <w:p>
            <w:pPr>
              <w:pStyle w:val="Compact"/>
            </w:pPr>
          </w:p>
        </w:tc>
        <w:tc>
          <w:tcPr/>
          <w:p>
            <w:pPr>
              <w:pStyle w:val="Compact"/>
              <w:jc w:val="left"/>
            </w:pPr>
            <w:r>
              <w:rPr>
                <w:bCs/>
                <w:b/>
              </w:rPr>
              <w:t xml:space="preserve">8.95</w:t>
            </w:r>
          </w:p>
        </w:tc>
      </w:tr>
    </w:tbl>
    <w:p>
      <w:pPr>
        <w:pStyle w:val="BodyText"/>
      </w:pPr>
      <w:r>
        <w:rPr>
          <w:bCs/>
          <w:b/>
        </w:rPr>
        <w:t xml:space="preserve">Total PCF: 8.95 kgCO2e per functional unit.</w:t>
      </w:r>
    </w:p>
    <w:bookmarkEnd w:id="32"/>
    <w:bookmarkStart w:id="33" w:name="X46853a1f8172270e9f00252ab619f406734bbd6"/>
    <w:p>
      <w:pPr>
        <w:pStyle w:val="Heading3"/>
      </w:pPr>
      <w:r>
        <w:t xml:space="preserve">5.2. Emissions Categorization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0.11</w:t>
            </w:r>
          </w:p>
        </w:tc>
        <w:tc>
          <w:tcPr/>
          <w:p>
            <w:pPr>
              <w:pStyle w:val="Compact"/>
              <w:jc w:val="left"/>
            </w:pPr>
            <w:r>
              <w:t xml:space="preserve">1.2%</w:t>
            </w:r>
          </w:p>
        </w:tc>
      </w:tr>
      <w:tr>
        <w:tc>
          <w:tcPr/>
          <w:p>
            <w:pPr>
              <w:pStyle w:val="Compact"/>
              <w:jc w:val="left"/>
            </w:pPr>
            <w:r>
              <w:t xml:space="preserve">Scope 3 (Value Chain)</w:t>
            </w:r>
          </w:p>
        </w:tc>
        <w:tc>
          <w:tcPr/>
          <w:p>
            <w:pPr>
              <w:pStyle w:val="Compact"/>
              <w:jc w:val="left"/>
            </w:pPr>
            <w:r>
              <w:t xml:space="preserve">8.83</w:t>
            </w:r>
          </w:p>
        </w:tc>
        <w:tc>
          <w:tcPr/>
          <w:p>
            <w:pPr>
              <w:pStyle w:val="Compact"/>
              <w:jc w:val="left"/>
            </w:pPr>
            <w:r>
              <w:t xml:space="preserve">98.8%</w:t>
            </w:r>
          </w:p>
        </w:tc>
      </w:tr>
      <w:tr>
        <w:tc>
          <w:tcPr/>
          <w:p>
            <w:pPr>
              <w:pStyle w:val="Compact"/>
              <w:jc w:val="left"/>
            </w:pPr>
            <w:r>
              <w:t xml:space="preserve">    Upstream Scope 3</w:t>
            </w:r>
          </w:p>
        </w:tc>
        <w:tc>
          <w:tcPr/>
          <w:p>
            <w:pPr>
              <w:pStyle w:val="Compact"/>
              <w:jc w:val="left"/>
            </w:pPr>
            <w:r>
              <w:t xml:space="preserve">2.79</w:t>
            </w:r>
          </w:p>
        </w:tc>
        <w:tc>
          <w:tcPr/>
          <w:p>
            <w:pPr>
              <w:pStyle w:val="Compact"/>
              <w:jc w:val="left"/>
            </w:pPr>
            <w:r>
              <w:t xml:space="preserve">31.2%</w:t>
            </w:r>
          </w:p>
        </w:tc>
      </w:tr>
      <w:tr>
        <w:tc>
          <w:tcPr/>
          <w:p>
            <w:pPr>
              <w:pStyle w:val="Compact"/>
              <w:jc w:val="left"/>
            </w:pPr>
            <w:r>
              <w:t xml:space="preserve">    Downstream Scope 3</w:t>
            </w:r>
          </w:p>
        </w:tc>
        <w:tc>
          <w:tcPr/>
          <w:p>
            <w:pPr>
              <w:pStyle w:val="Compact"/>
              <w:jc w:val="left"/>
            </w:pPr>
            <w:r>
              <w:t xml:space="preserve">6.05</w:t>
            </w:r>
          </w:p>
        </w:tc>
        <w:tc>
          <w:tcPr/>
          <w:p>
            <w:pPr>
              <w:pStyle w:val="Compact"/>
              <w:jc w:val="left"/>
            </w:pPr>
            <w:r>
              <w:t xml:space="preserve">67.6%</w:t>
            </w:r>
          </w:p>
        </w:tc>
      </w:tr>
      <w:tr>
        <w:tc>
          <w:tcPr/>
          <w:p>
            <w:pPr>
              <w:pStyle w:val="Compact"/>
              <w:jc w:val="left"/>
            </w:pPr>
            <w:r>
              <w:t xml:space="preserve">Total PCF</w:t>
            </w:r>
          </w:p>
        </w:tc>
        <w:tc>
          <w:tcPr/>
          <w:p>
            <w:pPr>
              <w:pStyle w:val="Compact"/>
              <w:jc w:val="left"/>
            </w:pPr>
            <w:r>
              <w:rPr>
                <w:bCs/>
                <w:b/>
              </w:rPr>
              <w:t xml:space="preserve">8.95</w:t>
            </w:r>
          </w:p>
        </w:tc>
        <w:tc>
          <w:tcPr/>
          <w:p>
            <w:pPr>
              <w:pStyle w:val="Compact"/>
              <w:jc w:val="left"/>
            </w:pPr>
            <w:r>
              <w:rPr>
                <w:bCs/>
                <w:b/>
              </w:rPr>
              <w:t xml:space="preserve">100.0%</w:t>
            </w:r>
          </w:p>
        </w:tc>
      </w:tr>
    </w:tbl>
    <w:p>
      <w:pPr>
        <w:pStyle w:val="BodyText"/>
      </w:pPr>
      <w:r>
        <w:t xml:space="preserve">This breakdown clearly illustrates that Scope 3 emissions, particularly from the use phase, dominate the product\'s overall carbon footprint, consistent with many electronic devices.</w:t>
      </w:r>
    </w:p>
    <w:p>
      <w:r>
        <w:pict>
          <v:rect style="width:0;height:1.5pt" o:hralign="center" o:hrstd="t" o:hr="t"/>
        </w:pict>
      </w:r>
    </w:p>
    <w:bookmarkEnd w:id="33"/>
    <w:bookmarkEnd w:id="34"/>
    <w:bookmarkStart w:id="38" w:name="review-report-step-5"/>
    <w:p>
      <w:pPr>
        <w:pStyle w:val="Heading2"/>
      </w:pPr>
      <w:r>
        <w:t xml:space="preserve">6. Review &amp; Report (Step 5)</w:t>
      </w:r>
    </w:p>
    <w:bookmarkStart w:id="35" w:name="emission-hotspots"/>
    <w:p>
      <w:pPr>
        <w:pStyle w:val="Heading3"/>
      </w:pPr>
      <w:r>
        <w:t xml:space="preserve">6.1. Emission Hotspots</w:t>
      </w:r>
    </w:p>
    <w:p>
      <w:pPr>
        <w:pStyle w:val="FirstParagraph"/>
      </w:pPr>
      <w:r>
        <w:t xml:space="preserve">The primary emission hotspot for the qkexnqqlpn Smart Home Hub is the **Use Phase**, accounting for approximately 67.6% of the total PCF. This is driven by the electricity consumption over the product\'s 5-year lifespan in regions with a significant carbon intensity in their electricity grids. The second major hotspot is **Materials Acquisition &amp; Manufacturing**, contributing about 31.2%, highlighting the importance of material selection and manufacturing processes.</w:t>
      </w:r>
    </w:p>
    <w:bookmarkEnd w:id="35"/>
    <w:bookmarkStart w:id="36" w:name="reliability-and-limitations"/>
    <w:p>
      <w:pPr>
        <w:pStyle w:val="Heading3"/>
      </w:pPr>
      <w:r>
        <w:t xml:space="preserve">6.2. Reliability and Limitations</w:t>
      </w:r>
    </w:p>
    <w:p>
      <w:pPr>
        <w:pStyle w:val="FirstParagraph"/>
      </w:pPr>
      <w:r>
        <w:t xml:space="preserve">The reliability of this PCF analysis is contingent on the accuracy of the illustrative data provided and the chosen emission factors. While industry-standard emission factors from reputable sources like Ecoinvent and DEFRA have been used where available, some factors are based on plausible estimates for demonstration. Greater accuracy would be achieved with primary data from nprwsgjoil\'s specific suppliers and manufacturing processes.</w:t>
      </w:r>
    </w:p>
    <w:p>
      <w:pPr>
        <w:numPr>
          <w:ilvl w:val="0"/>
          <w:numId w:val="1012"/>
        </w:numPr>
        <w:pStyle w:val="Compact"/>
      </w:pPr>
      <w:r>
        <w:rPr>
          <w:bCs/>
          <w:b/>
        </w:rPr>
        <w:t xml:space="preserve">Data Source Variation:</w:t>
      </w:r>
      <w:r>
        <w:t xml:space="preserve"> </w:t>
      </w:r>
      <w:r>
        <w:t xml:space="preserve">Emission factors can vary depending on the database, geographic specificity, and year of data.</w:t>
      </w:r>
    </w:p>
    <w:p>
      <w:pPr>
        <w:numPr>
          <w:ilvl w:val="0"/>
          <w:numId w:val="1012"/>
        </w:numPr>
        <w:pStyle w:val="Compact"/>
      </w:pPr>
      <w:r>
        <w:rPr>
          <w:bCs/>
          <w:b/>
        </w:rPr>
        <w:t xml:space="preserve">Illustrative Data:</w:t>
      </w:r>
      <w:r>
        <w:t xml:space="preserve"> </w:t>
      </w:r>
      <w:r>
        <w:t xml:space="preserve">Key parameters (BOM details, transport specifics, energy data, EoL scenarios) were provided as strings and interpreted with illustrative numerical values. Actual data would yield a more precise footprint.</w:t>
      </w:r>
    </w:p>
    <w:p>
      <w:pPr>
        <w:numPr>
          <w:ilvl w:val="0"/>
          <w:numId w:val="1012"/>
        </w:numPr>
        <w:pStyle w:val="Compact"/>
      </w:pPr>
      <w:r>
        <w:rPr>
          <w:bCs/>
          <w:b/>
        </w:rPr>
        <w:t xml:space="preserve">System Boundary:</w:t>
      </w:r>
      <w:r>
        <w:t xml:space="preserve"> </w:t>
      </w:r>
      <w:r>
        <w:t xml:space="preserve">The "factory_gate" for materials means some upstream processes are included, but a full "cradle-to-gate" for every sub-component relies on generic data.</w:t>
      </w:r>
    </w:p>
    <w:p>
      <w:pPr>
        <w:numPr>
          <w:ilvl w:val="0"/>
          <w:numId w:val="1012"/>
        </w:numPr>
        <w:pStyle w:val="Compact"/>
      </w:pPr>
      <w:r>
        <w:rPr>
          <w:bCs/>
          <w:b/>
        </w:rPr>
        <w:t xml:space="preserve">End-of-Life Assumptions:</w:t>
      </w:r>
      <w:r>
        <w:t xml:space="preserve"> </w:t>
      </w:r>
      <w:r>
        <w:t xml:space="preserve">EoL scenarios involve assumptions about consumer behavior and waste management infrastructure effectiveness.</w:t>
      </w:r>
    </w:p>
    <w:bookmarkEnd w:id="36"/>
    <w:bookmarkStart w:id="37" w:name="recommendations-for-reduction"/>
    <w:p>
      <w:pPr>
        <w:pStyle w:val="Heading3"/>
      </w:pPr>
      <w:r>
        <w:t xml:space="preserve">6.3. Recommendations for Reduction</w:t>
      </w:r>
    </w:p>
    <w:p>
      <w:pPr>
        <w:pStyle w:val="FirstParagraph"/>
      </w:pPr>
      <w:r>
        <w:t xml:space="preserve">Based on the identified hotspots, nprwsgjoil should focus on the following to reduce the PCF of qkexnqqlpn:</w:t>
      </w:r>
    </w:p>
    <w:p>
      <w:pPr>
        <w:numPr>
          <w:ilvl w:val="0"/>
          <w:numId w:val="1013"/>
        </w:numPr>
        <w:pStyle w:val="Compact"/>
      </w:pPr>
      <w:r>
        <w:rPr>
          <w:bCs/>
          <w:b/>
        </w:rPr>
        <w:t xml:space="preserve">Optimize Use Phase:</w:t>
      </w:r>
      <w:r>
        <w:t xml:space="preserve"> </w:t>
      </w:r>
      <w:r>
        <w:t xml:space="preserve">Invest in energy-efficient design to reduce electricity consumption during the product\'s active lifespan. Promote renewable energy adoption among end-users or offer offsets for product use.</w:t>
      </w:r>
    </w:p>
    <w:p>
      <w:pPr>
        <w:numPr>
          <w:ilvl w:val="0"/>
          <w:numId w:val="1013"/>
        </w:numPr>
        <w:pStyle w:val="Compact"/>
      </w:pPr>
      <w:r>
        <w:rPr>
          <w:bCs/>
          <w:b/>
        </w:rPr>
        <w:t xml:space="preserve">Material Decarbonization:</w:t>
      </w:r>
      <w:r>
        <w:t xml:space="preserve"> </w:t>
      </w:r>
      <w:r>
        <w:t xml:space="preserve">Explore materials with lower embodied carbon, increase recycled content, and work with suppliers to reduce emissions in material production.</w:t>
      </w:r>
    </w:p>
    <w:p>
      <w:pPr>
        <w:numPr>
          <w:ilvl w:val="0"/>
          <w:numId w:val="1013"/>
        </w:numPr>
        <w:pStyle w:val="Compact"/>
      </w:pPr>
      <w:r>
        <w:rPr>
          <w:bCs/>
          <w:b/>
        </w:rPr>
        <w:t xml:space="preserve">Enhance Circularity:</w:t>
      </w:r>
      <w:r>
        <w:t xml:space="preserve"> </w:t>
      </w:r>
      <w:r>
        <w:t xml:space="preserve">Strengthen the Product Take-back Program and ensure efficient recycling processes to maximize material recovery and avoid virgin material production (reporting these avoided emissions separately).</w:t>
      </w:r>
    </w:p>
    <w:p>
      <w:pPr>
        <w:numPr>
          <w:ilvl w:val="0"/>
          <w:numId w:val="1013"/>
        </w:numPr>
        <w:pStyle w:val="Compact"/>
      </w:pPr>
      <w:r>
        <w:rPr>
          <w:bCs/>
          <w:b/>
        </w:rPr>
        <w:t xml:space="preserve">Supply Chain Engagement:</w:t>
      </w:r>
      <w:r>
        <w:t xml:space="preserve"> </w:t>
      </w:r>
      <w:r>
        <w:t xml:space="preserve">Collaborate with transportation providers to utilize lower-emission freight options and optimize logistics routes and load factors.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qkexnqqlpn (Smart Home Hub)</dc:title>
  <dc:creator/>
  <dc:description>Detailed Product Carbon Footprint (PCF) analysis report for qkexnqqlpn, a Smart Home Hub, performed by Senior Sustainability Consultant nismfqnvgu for nprwsgjoil, adhering to GHG Protocol standards and 2026 LSR Update requirements.</dc:description>
  <dc:language>en</dc:language>
  <cp:keywords/>
  <dcterms:created xsi:type="dcterms:W3CDTF">2026-07-15T10:24:29Z</dcterms:created>
  <dcterms:modified xsi:type="dcterms:W3CDTF">2026-07-15T10:24:29Z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