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qjfuwnnyky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qjfuwnnyky</w:t>
      </w:r>
    </w:p>
    <w:p>
      <w:pPr>
        <w:pStyle w:val="BodyText"/>
      </w:pPr>
      <w:r>
        <w:rPr>
          <w:bCs/>
          <w:b/>
        </w:rPr>
        <w:t xml:space="preserve">Company:</w:t>
      </w:r>
      <w:r>
        <w:t xml:space="preserve"> </w:t>
      </w:r>
      <w:r>
        <w:t xml:space="preserve">sloejdztyu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ymirnlzdyr</w:t>
      </w:r>
    </w:p>
    <w:p>
      <w:pPr>
        <w:pStyle w:val="BodyText"/>
      </w:pPr>
      <w:r>
        <w:t xml:space="preserve">Disclaimer: This report is generated based on available data and industry standards, providing an assessment of the product\'s carbon footprint. It relies on the accuracy of the provided parameters and emission factors from recognized databases (e.g., Ecoinvent/DEFRA).</w:t>
      </w:r>
    </w:p>
    <w:bookmarkEnd w:id="20"/>
    <w:p>
      <w:pPr>
        <w:pStyle w:val="BodyText"/>
      </w:pPr>
      <w:r>
        <w:t xml:space="preserve">Product Carbon Footprint Report - qjfuwnnyky | Generated Date: June 2, 2026</w:t>
      </w:r>
    </w:p>
    <w:bookmarkStart w:id="49" w:name="executive-summary"/>
    <w:p>
      <w:pPr>
        <w:pStyle w:val="Heading1"/>
      </w:pPr>
      <w:r>
        <w:t xml:space="preserve">Executive Summary</w:t>
      </w:r>
    </w:p>
    <w:p>
      <w:pPr>
        <w:pStyle w:val="FirstParagraph"/>
      </w:pPr>
      <w:r>
        <w:t xml:space="preserve">This Product Carbon Footprint (PCF) analysis, conducted by ymirnlzdyr for sloejdztyu, assesses the greenhouse gas (GHG) emissions associated with the product qjfuwnnyky. Adhering strictly to the GHG Protocol and incorporating elements of the 2026 Land Sector and Removals (LSR) Standard, this report quantifies emissions from a \'factory_gate\' system boundary. The analysis identifies key emission hotspots across material acquisition, manufacturing, and relevant supply chain logistics, alongside considering the broader lifecycle impacts for improved understanding. Our methodology ensures high data integrity and aims for at least 95% coverage for Scope 3 reporting as per 2026 requirements, providing sloejdztyu with actionable insights for sustainability improvements.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This section outlines the foundational parameters guiding the PCF analysis for product qjfuwnnyky.</w:t>
      </w:r>
    </w:p>
    <w:p>
      <w:pPr>
        <w:numPr>
          <w:ilvl w:val="0"/>
          <w:numId w:val="1001"/>
        </w:numPr>
        <w:pStyle w:val="Compact"/>
      </w:pPr>
      <w:r>
        <w:rPr>
          <w:bCs/>
          <w:b/>
        </w:rPr>
        <w:t xml:space="preserve">Functional Unit:</w:t>
      </w:r>
      <w:r>
        <w:t xml:space="preserve"> </w:t>
      </w:r>
      <w:r>
        <w:t xml:space="preserve">1.0 unit of qjfuwnnyky. All emissions are calculated per this unit.</w:t>
      </w:r>
    </w:p>
    <w:p>
      <w:pPr>
        <w:numPr>
          <w:ilvl w:val="0"/>
          <w:numId w:val="1001"/>
        </w:numPr>
        <w:pStyle w:val="Compact"/>
      </w:pPr>
      <w:r>
        <w:rPr>
          <w:bCs/>
          <w:b/>
        </w:rPr>
        <w:t xml:space="preserve">System Boundary:</w:t>
      </w:r>
      <w:r>
        <w:t xml:space="preserve"> </w:t>
      </w:r>
      <w:r>
        <w:t xml:space="preserve">factory_gate. This boundary encompasses all activities from raw material extraction, processing, and transportation to the manufacturing facility, through the manufacturing process itself, and up to the point where the finished product leaves the factory gate. While the primary boundary is \'factory_gate\', the report also expands to cover \'Use Phase\' and \'End-of-Life\' scenarios as requested, categorizing these as downstream Scope 3 emissions for a more holistic view.</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GHG Protocol (explicitly followed for categorization and calculation).</w:t>
      </w:r>
    </w:p>
    <w:p>
      <w:pPr>
        <w:numPr>
          <w:ilvl w:val="0"/>
          <w:numId w:val="1001"/>
        </w:numPr>
        <w:pStyle w:val="Compact"/>
      </w:pPr>
      <w:r>
        <w:rPr>
          <w:bCs/>
          <w:b/>
        </w:rPr>
        <w:t xml:space="preserve">Allocation:</w:t>
      </w:r>
      <w:r>
        <w:t xml:space="preserve"> </w:t>
      </w:r>
      <w:r>
        <w:t xml:space="preserve">Emissions from shared processes are allocated to qjfuwnnyky based on mass, economic value, or other relevant physical relationships, ensuring consistency and avoiding double-counting or omission.</w:t>
      </w:r>
    </w:p>
    <w:p>
      <w:r>
        <w:pict>
          <v:rect style="width:0;height:1.5pt" o:hralign="center" o:hrstd="t" o:hr="t"/>
        </w:pict>
      </w:r>
    </w:p>
    <w:bookmarkEnd w:id="21"/>
    <w:bookmarkStart w:id="28" w:name="lifecycle-mapping-lci-inventory-stages"/>
    <w:p>
      <w:pPr>
        <w:pStyle w:val="Heading2"/>
      </w:pPr>
      <w:r>
        <w:t xml:space="preserve">2. Lifecycle Mapping (LCI Inventory Stages)</w:t>
      </w:r>
    </w:p>
    <w:p>
      <w:pPr>
        <w:pStyle w:val="FirstParagraph"/>
      </w:pPr>
      <w:r>
        <w:t xml:space="preserve">The lifecycle of qjfuwnnyky is mapped into distinct stages to identify all relevant emission sources, in accordance with GHG Protocol guidelines.</w:t>
      </w:r>
    </w:p>
    <w:bookmarkStart w:id="23" w:name="X803f1a2d294c2df7ca399abbc08b79c0f9fca01"/>
    <w:p>
      <w:pPr>
        <w:pStyle w:val="Heading3"/>
      </w:pPr>
      <w:r>
        <w:t xml:space="preserve">2.1. Raw Material Acquisition &amp; Pre-processing (Scope 3, Category 1)</w:t>
      </w:r>
    </w:p>
    <w:p>
      <w:pPr>
        <w:pStyle w:val="FirstParagraph"/>
      </w:pPr>
      <w:r>
        <w:t xml:space="preserve">This stage includes the extraction, processing, and refining of all raw materials and components specified in the Detailed Bill of Materials (BOM).</w:t>
      </w:r>
    </w:p>
    <w:bookmarkStart w:id="22" w:name="X5498447ef33614cd0e50e9956e4fa7bef6de386"/>
    <w:p>
      <w:pPr>
        <w:pStyle w:val="Heading4"/>
      </w:pPr>
      <w:r>
        <w:t xml:space="preserve">Detailed Bill of Materials (BOM) for gvpxygxx (Illustrative Data based on format)</w:t>
      </w:r>
    </w:p>
    <w:p>
      <w:pPr>
        <w:pStyle w:val="FirstParagraph"/>
      </w:pPr>
      <w:r>
        <w:t xml:space="preserve">The following table presents an illustrative Bill of Materials, structured according to the format provided for gvpxygxx. The \'Total Carbon\' for each item is calculated based on its Quantity and Emission Factor. Please note that the \'ID\', \'Description\', \'Category\', \'Process\', \'Qty\', \'Unit\', \'Emission Factor\', and \'Total Carbon\' are illustrative for the purpose of demonstrating the calculation, as `gvpxygxx` was provided as a variable name and not structured data itself. For a real analysis, these values would come from primary supplier data or robust secondary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MAT003</w:t>
            </w:r>
          </w:p>
        </w:tc>
        <w:tc>
          <w:tcPr/>
          <w:p>
            <w:pPr>
              <w:pStyle w:val="Compact"/>
              <w:jc w:val="left"/>
            </w:pPr>
            <w:r>
              <w:t xml:space="preserve">Lithium-ion Battery Pack</w:t>
            </w:r>
          </w:p>
        </w:tc>
        <w:tc>
          <w:tcPr/>
          <w:p>
            <w:pPr>
              <w:pStyle w:val="Compact"/>
              <w:jc w:val="left"/>
            </w:pPr>
            <w:r>
              <w:t xml:space="preserve">Metals/Chemicals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0.11</w:t>
            </w:r>
          </w:p>
        </w:tc>
      </w:tr>
      <w:tr>
        <w:tc>
          <w:tcPr/>
          <w:p>
            <w:pPr>
              <w:pStyle w:val="Compact"/>
              <w:jc w:val="left"/>
            </w:pPr>
            <w:r>
              <w:t xml:space="preserve">MAT005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bl>
    <w:p>
      <w:pPr>
        <w:pStyle w:val="BodyText"/>
      </w:pPr>
      <w:r>
        <w:rPr>
          <w:iCs/>
          <w:i/>
        </w:rPr>
        <w:t xml:space="preserve">Total Raw Material Carbon (illustrative):</w:t>
      </w:r>
      <w:r>
        <w:t xml:space="preserve"> </w:t>
      </w:r>
      <w:r>
        <w:t xml:space="preserve">4.51 kgCO2e</w:t>
      </w:r>
    </w:p>
    <w:bookmarkEnd w:id="22"/>
    <w:bookmarkEnd w:id="23"/>
    <w:bookmarkStart w:id="24" w:name="manufacturingproduction-scope-1-2"/>
    <w:p>
      <w:pPr>
        <w:pStyle w:val="Heading3"/>
      </w:pPr>
      <w:r>
        <w:t xml:space="preserve">2.2. Manufacturing/Production (Scope 1 &amp; 2)</w:t>
      </w:r>
    </w:p>
    <w:p>
      <w:pPr>
        <w:pStyle w:val="FirstParagraph"/>
      </w:pPr>
      <w:r>
        <w:t xml:space="preserve">This stage covers the energy consumption and direct emissions at the manufacturing facility in China.</w:t>
      </w:r>
    </w:p>
    <w:p>
      <w:pPr>
        <w:numPr>
          <w:ilvl w:val="0"/>
          <w:numId w:val="1003"/>
        </w:numPr>
        <w:pStyle w:val="Compact"/>
      </w:pPr>
      <w:r>
        <w:rPr>
          <w:bCs/>
          <w:b/>
        </w:rPr>
        <w:t xml:space="preserve">Energy Intensity (kWh/unit):</w:t>
      </w:r>
      <w:r>
        <w:t xml:space="preserve"> </w:t>
      </w:r>
      <w:r>
        <w:t xml:space="preserve">yrwhszyfnp (e.g., 5.0 kWh/unit)</w:t>
      </w:r>
    </w:p>
    <w:p>
      <w:pPr>
        <w:numPr>
          <w:ilvl w:val="0"/>
          <w:numId w:val="1003"/>
        </w:numPr>
        <w:pStyle w:val="Compact"/>
      </w:pPr>
      <w:r>
        <w:rPr>
          <w:bCs/>
          <w:b/>
        </w:rPr>
        <w:t xml:space="preserve">Renewable Energy Usage:</w:t>
      </w:r>
      <w:r>
        <w:t xml:space="preserve"> </w:t>
      </w:r>
      <w:r>
        <w:t xml:space="preserve">nskpxlgwus (e.g., 50%)</w:t>
      </w:r>
    </w:p>
    <w:p>
      <w:pPr>
        <w:numPr>
          <w:ilvl w:val="0"/>
          <w:numId w:val="1003"/>
        </w:numPr>
        <w:pStyle w:val="Compact"/>
      </w:pPr>
      <w:r>
        <w:rPr>
          <w:bCs/>
          <w:b/>
        </w:rPr>
        <w:t xml:space="preserve">Energy Inputs:</w:t>
      </w:r>
      <w:r>
        <w:t xml:space="preserve"> </w:t>
      </w:r>
      <w:r>
        <w:t xml:space="preserve">Electricity is the primary energy input.</w:t>
      </w:r>
    </w:p>
    <w:bookmarkEnd w:id="24"/>
    <w:bookmarkStart w:id="25" w:name="X267a9d4e01632d4209f60d4182f3de86db7a7f0"/>
    <w:p>
      <w:pPr>
        <w:pStyle w:val="Heading3"/>
      </w:pPr>
      <w:r>
        <w:t xml:space="preserve">2.3. Transport &amp; Distribution (Scope 3, Category 4 &amp; 9)</w:t>
      </w:r>
    </w:p>
    <w:p>
      <w:pPr>
        <w:pStyle w:val="FirstParagraph"/>
      </w:pPr>
      <w:r>
        <w:t xml:space="preserve">Covers the logistics from raw material suppliers to the factory (upstream) and from the factory to the final customer (downstream, up to the factory_gate boundary, but also includes last-mile delivery as requested).</w:t>
      </w:r>
    </w:p>
    <w:p>
      <w:pPr>
        <w:numPr>
          <w:ilvl w:val="0"/>
          <w:numId w:val="1004"/>
        </w:numPr>
        <w:pStyle w:val="Compact"/>
      </w:pPr>
      <w:r>
        <w:rPr>
          <w:bCs/>
          <w:b/>
        </w:rPr>
        <w:t xml:space="preserve">Upstream Transport Mode (Illustrative):</w:t>
      </w:r>
      <w:r>
        <w:t xml:space="preserve"> </w:t>
      </w:r>
      <w:r>
        <w:t xml:space="preserve">Ocean Freight from Europe to China.</w:t>
      </w:r>
    </w:p>
    <w:p>
      <w:pPr>
        <w:numPr>
          <w:ilvl w:val="0"/>
          <w:numId w:val="1004"/>
        </w:numPr>
        <w:pStyle w:val="Compact"/>
      </w:pPr>
      <w:r>
        <w:rPr>
          <w:bCs/>
          <w:b/>
        </w:rPr>
        <w:t xml:space="preserve">Upstream Transport Distance (Illustrative):</w:t>
      </w:r>
      <w:r>
        <w:t xml:space="preserve"> </w:t>
      </w:r>
      <w:r>
        <w:t xml:space="preserve">10,000 km.</w:t>
      </w:r>
    </w:p>
    <w:p>
      <w:pPr>
        <w:numPr>
          <w:ilvl w:val="0"/>
          <w:numId w:val="1004"/>
        </w:numPr>
        <w:pStyle w:val="Compact"/>
      </w:pPr>
      <w:r>
        <w:rPr>
          <w:bCs/>
          <w:b/>
        </w:rPr>
        <w:t xml:space="preserve">Downstream Transport Mode (Primary):</w:t>
      </w:r>
      <w:r>
        <w:t xml:space="preserve"> </w:t>
      </w:r>
      <w:r>
        <w:t xml:space="preserve">Select Mode (e.g., Ocean Freight from China to Europe).</w:t>
      </w:r>
    </w:p>
    <w:p>
      <w:pPr>
        <w:numPr>
          <w:ilvl w:val="0"/>
          <w:numId w:val="1004"/>
        </w:numPr>
        <w:pStyle w:val="Compact"/>
      </w:pPr>
      <w:r>
        <w:rPr>
          <w:bCs/>
          <w:b/>
        </w:rPr>
        <w:t xml:space="preserve">Downstream Transport Distance:</w:t>
      </w:r>
      <w:r>
        <w:t xml:space="preserve"> </w:t>
      </w:r>
      <w:r>
        <w:t xml:space="preserve">tmkogkpjqv (e.g., 10,000 km).</w:t>
      </w:r>
    </w:p>
    <w:p>
      <w:pPr>
        <w:numPr>
          <w:ilvl w:val="0"/>
          <w:numId w:val="1004"/>
        </w:numPr>
        <w:pStyle w:val="Compact"/>
      </w:pPr>
      <w:r>
        <w:rPr>
          <w:bCs/>
          <w:b/>
        </w:rPr>
        <w:t xml:space="preserve">Last-Mile Delivery Channel:</w:t>
      </w:r>
      <w:r>
        <w:t xml:space="preserve"> </w:t>
      </w:r>
      <w:r>
        <w:t xml:space="preserve">Delivery Type (e.g., Road Van in Europe).</w:t>
      </w:r>
    </w:p>
    <w:p>
      <w:pPr>
        <w:numPr>
          <w:ilvl w:val="0"/>
          <w:numId w:val="1004"/>
        </w:numPr>
        <w:pStyle w:val="Compact"/>
      </w:pPr>
      <w:r>
        <w:rPr>
          <w:bCs/>
          <w:b/>
        </w:rPr>
        <w:t xml:space="preserve">Last-Mile Delivery Distance (Illustrative):</w:t>
      </w:r>
      <w:r>
        <w:t xml:space="preserve"> </w:t>
      </w:r>
      <w:r>
        <w:t xml:space="preserve">500 km.</w:t>
      </w:r>
    </w:p>
    <w:bookmarkEnd w:id="25"/>
    <w:bookmarkStart w:id="26" w:name="Xd1325f59a628d21e266348412157e99c0624c5c"/>
    <w:p>
      <w:pPr>
        <w:pStyle w:val="Heading3"/>
      </w:pPr>
      <w:r>
        <w:t xml:space="preserve">2.4. Use Phase (Scope 3, Category 11 - Beyond factory_gate)</w:t>
      </w:r>
    </w:p>
    <w:p>
      <w:pPr>
        <w:pStyle w:val="FirstParagraph"/>
      </w:pPr>
      <w:r>
        <w:t xml:space="preserve">Although beyond the strict \'factory_gate\' boundary, the use phase impacts are analyzed as requested for a comprehensive view.</w:t>
      </w:r>
    </w:p>
    <w:p>
      <w:pPr>
        <w:numPr>
          <w:ilvl w:val="0"/>
          <w:numId w:val="1005"/>
        </w:numPr>
        <w:pStyle w:val="Compact"/>
      </w:pPr>
      <w:r>
        <w:rPr>
          <w:bCs/>
          <w:b/>
        </w:rPr>
        <w:t xml:space="preserve">Product Lifespan:</w:t>
      </w:r>
      <w:r>
        <w:t xml:space="preserve"> </w:t>
      </w:r>
      <w:r>
        <w:t xml:space="preserve">hmuujmmgse (e.g., 5 years)</w:t>
      </w:r>
    </w:p>
    <w:p>
      <w:pPr>
        <w:numPr>
          <w:ilvl w:val="0"/>
          <w:numId w:val="1005"/>
        </w:numPr>
        <w:pStyle w:val="Compact"/>
      </w:pPr>
      <w:r>
        <w:rPr>
          <w:bCs/>
          <w:b/>
        </w:rPr>
        <w:t xml:space="preserve">Energy Consumption in Use:</w:t>
      </w:r>
      <w:r>
        <w:t xml:space="preserve"> </w:t>
      </w:r>
      <w:r>
        <w:t xml:space="preserve">rmezddvqhg (e.g., 10 kWh/year)</w:t>
      </w:r>
    </w:p>
    <w:bookmarkEnd w:id="26"/>
    <w:bookmarkStart w:id="27" w:name="X34d65edb2ca62de24b879537d1cb760c4d87b62"/>
    <w:p>
      <w:pPr>
        <w:pStyle w:val="Heading3"/>
      </w:pPr>
      <w:r>
        <w:t xml:space="preserve">2.5. End-of-Life (EoL) Treatment (Scope 3, Category 12 - Beyond factory_gate)</w:t>
      </w:r>
    </w:p>
    <w:p>
      <w:pPr>
        <w:pStyle w:val="FirstParagraph"/>
      </w:pPr>
      <w:r>
        <w:t xml:space="preserve">Also analyzed beyond the \'factory_gate\' boundary to understand circular economy impacts.</w:t>
      </w:r>
    </w:p>
    <w:p>
      <w:pPr>
        <w:numPr>
          <w:ilvl w:val="0"/>
          <w:numId w:val="1006"/>
        </w:numPr>
        <w:pStyle w:val="Compact"/>
      </w:pPr>
      <w:r>
        <w:rPr>
          <w:bCs/>
          <w:b/>
        </w:rPr>
        <w:t xml:space="preserve">Recyclability Percentage:</w:t>
      </w:r>
      <w:r>
        <w:t xml:space="preserve"> </w:t>
      </w:r>
      <w:r>
        <w:t xml:space="preserve">nmhwmvyved (e.g., 70%)</w:t>
      </w:r>
    </w:p>
    <w:p>
      <w:pPr>
        <w:numPr>
          <w:ilvl w:val="0"/>
          <w:numId w:val="1006"/>
        </w:numPr>
        <w:pStyle w:val="Compact"/>
      </w:pPr>
      <w:r>
        <w:rPr>
          <w:bCs/>
          <w:b/>
        </w:rPr>
        <w:t xml:space="preserve">Circular/Take-back Programs:</w:t>
      </w:r>
      <w:r>
        <w:t xml:space="preserve"> </w:t>
      </w:r>
      <w:r>
        <w:t xml:space="preserve">ruihtqovvn (e.g., \'Yes, actively managed programs\')</w:t>
      </w:r>
    </w:p>
    <w:p>
      <w:r>
        <w:pict>
          <v:rect style="width:0;height:1.5pt" o:hralign="center" o:hrstd="t" o:hr="t"/>
        </w:pict>
      </w:r>
    </w:p>
    <w:bookmarkEnd w:id="27"/>
    <w:bookmarkEnd w:id="28"/>
    <w:bookmarkStart w:id="32" w:name="data-collection"/>
    <w:p>
      <w:pPr>
        <w:pStyle w:val="Heading2"/>
      </w:pPr>
      <w:r>
        <w:t xml:space="preserve">3. Data Collection</w:t>
      </w:r>
    </w:p>
    <w:p>
      <w:pPr>
        <w:pStyle w:val="FirstParagraph"/>
      </w:pPr>
      <w:r>
        <w:t xml:space="preserve">Data collection involved a combination of primary and secondary data sources to ensure a robust analysis.</w:t>
      </w:r>
    </w:p>
    <w:p>
      <w:pPr>
        <w:numPr>
          <w:ilvl w:val="0"/>
          <w:numId w:val="1007"/>
        </w:numPr>
        <w:pStyle w:val="Compact"/>
      </w:pPr>
      <w:r>
        <w:rPr>
          <w:bCs/>
          <w:b/>
        </w:rPr>
        <w:t xml:space="preserve">Primary Data:</w:t>
      </w:r>
    </w:p>
    <w:p>
      <w:pPr>
        <w:numPr>
          <w:ilvl w:val="1"/>
          <w:numId w:val="1008"/>
        </w:numPr>
        <w:pStyle w:val="Compact"/>
      </w:pPr>
      <w:r>
        <w:t xml:space="preserve">Company-specific data for sloejdztyu, including details on the Bill of Materials (gvpxygxx), production energy intensity (yrwhszyfnp), renewable energy usage (nskpxlgwus), transport distances (tmkogkpjqv), product lifespan (hmuujmmgse), energy consumption in use (rmezddvqhg), recyclability (nmhwmvyved), and circular programs (ruihtqovvn).</w:t>
      </w:r>
    </w:p>
    <w:p>
      <w:pPr>
        <w:numPr>
          <w:ilvl w:val="1"/>
          <w:numId w:val="1008"/>
        </w:numPr>
        <w:pStyle w:val="Compact"/>
      </w:pPr>
      <w:r>
        <w:t xml:space="preserve">Specific transport modes (\'Select Mode\', \'Delivery Type\') were incorporated as provided.</w:t>
      </w:r>
    </w:p>
    <w:p>
      <w:pPr>
        <w:numPr>
          <w:ilvl w:val="0"/>
          <w:numId w:val="1007"/>
        </w:numPr>
        <w:pStyle w:val="Compact"/>
      </w:pPr>
      <w:r>
        <w:rPr>
          <w:bCs/>
          <w:b/>
        </w:rPr>
        <w:t xml:space="preserve">Secondary Data:</w:t>
      </w:r>
    </w:p>
    <w:p>
      <w:pPr>
        <w:numPr>
          <w:ilvl w:val="1"/>
          <w:numId w:val="1009"/>
        </w:numPr>
        <w:pStyle w:val="Compact"/>
      </w:pPr>
      <w:r>
        <w:t xml:space="preserve">Industry-standard emission factors were utilized from reputable databases such as Ecoinvent and DEFRA for processes where primary data was unavailable or to cross-reference data. For this illustrative report, plausible proxy values have been used to demonstrate calculations.</w:t>
      </w:r>
    </w:p>
    <w:p>
      <w:pPr>
        <w:numPr>
          <w:ilvl w:val="1"/>
          <w:numId w:val="1009"/>
        </w:numPr>
        <w:pStyle w:val="Compact"/>
      </w:pPr>
      <w:r>
        <w:t xml:space="preserve">Grid electricity emission factors for China (production) and typical European grids (use phase) were sourced from relevant regional averages.</w:t>
      </w:r>
    </w:p>
    <w:bookmarkStart w:id="31" w:name="Xc99658ff314d8a3b13bc5da231a4685c28edf78"/>
    <w:p>
      <w:pPr>
        <w:pStyle w:val="Heading3"/>
      </w:pPr>
      <w:r>
        <w:t xml:space="preserve">Detailed Breakdown of Materials and Energy Inputs (Illustrative)</w:t>
      </w:r>
    </w:p>
    <w:p>
      <w:pPr>
        <w:pStyle w:val="FirstParagraph"/>
      </w:pPr>
      <w:r>
        <w:t xml:space="preserve">Based on the BOM and manufacturing parameters, the key inputs are:</w:t>
      </w:r>
    </w:p>
    <w:bookmarkStart w:id="29" w:name="Xbd244bc77812f6026db862bf3202995319477a8"/>
    <w:p>
      <w:pPr>
        <w:pStyle w:val="Heading4"/>
      </w:pPr>
      <w:r>
        <w:t xml:space="preserve">Material Inputs (by Category &amp; Illustrative Mass)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Illustrative Mass (kg)</w:t>
            </w:r>
          </w:p>
        </w:tc>
        <w:tc>
          <w:tcPr/>
          <w:p>
            <w:pPr>
              <w:pStyle w:val="Compact"/>
              <w:jc w:val="left"/>
            </w:pPr>
            <w:r>
              <w:t xml:space="preserve">Primary Emission Driver</w:t>
            </w:r>
          </w:p>
        </w:tc>
      </w:tr>
      <w:tr>
        <w:tc>
          <w:tcPr/>
          <w:p>
            <w:pPr>
              <w:pStyle w:val="Compact"/>
              <w:jc w:val="left"/>
            </w:pPr>
            <w:r>
              <w:t xml:space="preserve">Plastics</w:t>
            </w:r>
          </w:p>
        </w:tc>
        <w:tc>
          <w:tcPr/>
          <w:p>
            <w:pPr>
              <w:pStyle w:val="Compact"/>
              <w:jc w:val="left"/>
            </w:pPr>
            <w:r>
              <w:t xml:space="preserve">0.50</w:t>
            </w:r>
          </w:p>
        </w:tc>
        <w:tc>
          <w:tcPr/>
          <w:p>
            <w:pPr>
              <w:pStyle w:val="Compact"/>
              <w:jc w:val="left"/>
            </w:pPr>
            <w:r>
              <w:t xml:space="preserve">Polymerization, Injection Molding</w:t>
            </w:r>
          </w:p>
        </w:tc>
      </w:tr>
      <w:tr>
        <w:tc>
          <w:tcPr/>
          <w:p>
            <w:pPr>
              <w:pStyle w:val="Compact"/>
              <w:jc w:val="left"/>
            </w:pPr>
            <w:r>
              <w:t xml:space="preserve">Electronics</w:t>
            </w:r>
          </w:p>
        </w:tc>
        <w:tc>
          <w:tcPr/>
          <w:p>
            <w:pPr>
              <w:pStyle w:val="Compact"/>
              <w:jc w:val="left"/>
            </w:pPr>
            <w:r>
              <w:t xml:space="preserve">0.10</w:t>
            </w:r>
          </w:p>
        </w:tc>
        <w:tc>
          <w:tcPr/>
          <w:p>
            <w:pPr>
              <w:pStyle w:val="Compact"/>
              <w:jc w:val="left"/>
            </w:pPr>
            <w:r>
              <w:t xml:space="preserve">Semiconductor manufacturing, Assembly</w:t>
            </w:r>
          </w:p>
        </w:tc>
      </w:tr>
      <w:tr>
        <w:tc>
          <w:tcPr/>
          <w:p>
            <w:pPr>
              <w:pStyle w:val="Compact"/>
              <w:jc w:val="left"/>
            </w:pPr>
            <w:r>
              <w:t xml:space="preserve">Metals</w:t>
            </w:r>
          </w:p>
        </w:tc>
        <w:tc>
          <w:tcPr/>
          <w:p>
            <w:pPr>
              <w:pStyle w:val="Compact"/>
              <w:jc w:val="left"/>
            </w:pPr>
            <w:r>
              <w:t xml:space="preserve">0.23</w:t>
            </w:r>
          </w:p>
        </w:tc>
        <w:tc>
          <w:tcPr/>
          <w:p>
            <w:pPr>
              <w:pStyle w:val="Compact"/>
              <w:jc w:val="left"/>
            </w:pPr>
            <w:r>
              <w:t xml:space="preserve">Mining, Refining, Forming (e.g., Copper, Lithium, Aluminum)</w:t>
            </w:r>
          </w:p>
        </w:tc>
      </w:tr>
      <w:tr>
        <w:tc>
          <w:tcPr/>
          <w:p>
            <w:pPr>
              <w:pStyle w:val="Compact"/>
              <w:jc w:val="left"/>
            </w:pPr>
            <w:r>
              <w:t xml:space="preserve">Paper/Wood (Packaging)</w:t>
            </w:r>
          </w:p>
        </w:tc>
        <w:tc>
          <w:tcPr/>
          <w:p>
            <w:pPr>
              <w:pStyle w:val="Compact"/>
              <w:jc w:val="left"/>
            </w:pPr>
            <w:r>
              <w:t xml:space="preserve">0.05</w:t>
            </w:r>
          </w:p>
        </w:tc>
        <w:tc>
          <w:tcPr/>
          <w:p>
            <w:pPr>
              <w:pStyle w:val="Compact"/>
              <w:jc w:val="left"/>
            </w:pPr>
            <w:r>
              <w:t xml:space="preserve">Pulp production, Forming</w:t>
            </w:r>
          </w:p>
        </w:tc>
      </w:tr>
    </w:tbl>
    <w:p>
      <w:pPr>
        <w:pStyle w:val="BodyText"/>
      </w:pPr>
      <w:r>
        <w:rPr>
          <w:iCs/>
          <w:i/>
        </w:rPr>
        <w:t xml:space="preserve">Total Product Mass (approx.):</w:t>
      </w:r>
      <w:r>
        <w:t xml:space="preserve"> </w:t>
      </w:r>
      <w:r>
        <w:t xml:space="preserve">0.88 kg</w:t>
      </w:r>
    </w:p>
    <w:bookmarkEnd w:id="29"/>
    <w:bookmarkStart w:id="30" w:name="energy-inputs-manufacturing-phase"/>
    <w:p>
      <w:pPr>
        <w:pStyle w:val="Heading4"/>
      </w:pPr>
      <w:r>
        <w:t xml:space="preserve">Energy Inputs (Manufacturing Phase)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Intensity (kWh/unit)</w:t>
            </w:r>
          </w:p>
        </w:tc>
        <w:tc>
          <w:tcPr/>
          <w:p>
            <w:pPr>
              <w:pStyle w:val="Compact"/>
              <w:jc w:val="left"/>
            </w:pPr>
            <w:r>
              <w:t xml:space="preserve">Renewable Usage (%)</w:t>
            </w:r>
          </w:p>
        </w:tc>
        <w:tc>
          <w:tcPr/>
          <w:p>
            <w:pPr>
              <w:pStyle w:val="Compact"/>
              <w:jc w:val="left"/>
            </w:pPr>
            <w:r>
              <w:t xml:space="preserve">Effective Grid Share (kWh/unit)</w:t>
            </w:r>
          </w:p>
        </w:tc>
        <w:tc>
          <w:tcPr/>
          <w:p>
            <w:pPr>
              <w:pStyle w:val="Compact"/>
              <w:jc w:val="left"/>
            </w:pPr>
            <w:r>
              <w:t xml:space="preserve">Effective Renewable Share (kWh/unit)</w:t>
            </w:r>
          </w:p>
        </w:tc>
      </w:tr>
      <w:tr>
        <w:tc>
          <w:tcPr/>
          <w:p>
            <w:pPr>
              <w:pStyle w:val="Compact"/>
              <w:jc w:val="left"/>
            </w:pPr>
            <w:r>
              <w:t xml:space="preserve">Electricity</w:t>
            </w:r>
          </w:p>
        </w:tc>
        <w:tc>
          <w:tcPr/>
          <w:p>
            <w:pPr>
              <w:pStyle w:val="Compact"/>
              <w:jc w:val="left"/>
            </w:pPr>
            <w:r>
              <w:t xml:space="preserve">5.0 (yrwhszyfnp)</w:t>
            </w:r>
          </w:p>
        </w:tc>
        <w:tc>
          <w:tcPr/>
          <w:p>
            <w:pPr>
              <w:pStyle w:val="Compact"/>
              <w:jc w:val="left"/>
            </w:pPr>
            <w:r>
              <w:t xml:space="preserve">50% (nskpxlgwus)</w:t>
            </w:r>
          </w:p>
        </w:tc>
        <w:tc>
          <w:tcPr/>
          <w:p>
            <w:pPr>
              <w:pStyle w:val="Compact"/>
              <w:jc w:val="left"/>
            </w:pPr>
            <w:r>
              <w:t xml:space="preserve">2.5</w:t>
            </w:r>
          </w:p>
        </w:tc>
        <w:tc>
          <w:tcPr/>
          <w:p>
            <w:pPr>
              <w:pStyle w:val="Compact"/>
              <w:jc w:val="left"/>
            </w:pPr>
            <w:r>
              <w:t xml:space="preserve">2.5</w:t>
            </w:r>
          </w:p>
        </w:tc>
      </w:tr>
    </w:tbl>
    <w:p>
      <w:r>
        <w:pict>
          <v:rect style="width:0;height:1.5pt" o:hralign="center" o:hrstd="t" o:hr="t"/>
        </w:pict>
      </w:r>
    </w:p>
    <w:bookmarkEnd w:id="30"/>
    <w:bookmarkEnd w:id="31"/>
    <w:bookmarkEnd w:id="32"/>
    <w:bookmarkStart w:id="44" w:name="emissions-calculation"/>
    <w:p>
      <w:pPr>
        <w:pStyle w:val="Heading2"/>
      </w:pPr>
      <w:r>
        <w:t xml:space="preserve">4. Emissions Calculation</w:t>
      </w:r>
    </w:p>
    <w:p>
      <w:pPr>
        <w:pStyle w:val="FirstParagraph"/>
      </w:pPr>
      <w:r>
        <w:t xml:space="preserve">Emissions are calculated using the formula: Activity Data × Emission Factor = CO2e, and categorized according to the GHG Protocol. For illustrative purposes, example emission factors are used.</w:t>
      </w:r>
    </w:p>
    <w:bookmarkStart w:id="40" w:name="X6879efc219571d99562dd78644ec3f21988b460"/>
    <w:p>
      <w:pPr>
        <w:pStyle w:val="Heading3"/>
      </w:pPr>
      <w:r>
        <w:t xml:space="preserve">4.1. Calculation of Illustrative Emissions by Scope and Stage</w:t>
      </w:r>
    </w:p>
    <w:p>
      <w:pPr>
        <w:pStyle w:val="FirstParagraph"/>
      </w:pPr>
      <w:r>
        <w:rPr>
          <w:bCs/>
          <w:b/>
        </w:rPr>
        <w:t xml:space="preserve">Assumptions for illustrative calculations:</w:t>
      </w:r>
    </w:p>
    <w:p>
      <w:pPr>
        <w:numPr>
          <w:ilvl w:val="0"/>
          <w:numId w:val="1010"/>
        </w:numPr>
        <w:pStyle w:val="Compact"/>
      </w:pPr>
      <w:r>
        <w:t xml:space="preserve">Grid Electricity Emission Factor (China): 0.6 kgCO2e/kWh</w:t>
      </w:r>
    </w:p>
    <w:p>
      <w:pPr>
        <w:numPr>
          <w:ilvl w:val="0"/>
          <w:numId w:val="1010"/>
        </w:numPr>
        <w:pStyle w:val="Compact"/>
      </w:pPr>
      <w:r>
        <w:t xml:space="preserve">Renewable Electricity Emission Factor: 0.01 kgCO2e/kWh (accounting for infrastructure)</w:t>
      </w:r>
    </w:p>
    <w:p>
      <w:pPr>
        <w:numPr>
          <w:ilvl w:val="0"/>
          <w:numId w:val="1010"/>
        </w:numPr>
        <w:pStyle w:val="Compact"/>
      </w:pPr>
      <w:r>
        <w:t xml:space="preserve">Ocean Freight Emission Factor: 0.01 kgCO2e/tonne-km</w:t>
      </w:r>
    </w:p>
    <w:p>
      <w:pPr>
        <w:numPr>
          <w:ilvl w:val="0"/>
          <w:numId w:val="1010"/>
        </w:numPr>
        <w:pStyle w:val="Compact"/>
      </w:pPr>
      <w:r>
        <w:t xml:space="preserve">Road Transport (HGV) Emission Factor: 0.1 kgCO2e/tonne-km</w:t>
      </w:r>
    </w:p>
    <w:p>
      <w:pPr>
        <w:numPr>
          <w:ilvl w:val="0"/>
          <w:numId w:val="1010"/>
        </w:numPr>
        <w:pStyle w:val="Compact"/>
      </w:pPr>
      <w:r>
        <w:t xml:space="preserve">Consumer Grid Electricity Emission Factor (Europe): 0.3 kgCO2e/kWh</w:t>
      </w:r>
    </w:p>
    <w:p>
      <w:pPr>
        <w:numPr>
          <w:ilvl w:val="0"/>
          <w:numId w:val="1010"/>
        </w:numPr>
        <w:pStyle w:val="Compact"/>
      </w:pPr>
      <w:r>
        <w:t xml:space="preserve">End-of-Life Landfill/Incineration (per kg waste): 0.5 kgCO2e/kg</w:t>
      </w:r>
    </w:p>
    <w:p>
      <w:pPr>
        <w:numPr>
          <w:ilvl w:val="0"/>
          <w:numId w:val="1010"/>
        </w:numPr>
        <w:pStyle w:val="Compact"/>
      </w:pPr>
      <w:r>
        <w:t xml:space="preserve">End-of-Life Recycling Credit (per kg recycled): -1.0 kgCO2e/kg (avoided emissions)</w:t>
      </w:r>
    </w:p>
    <w:bookmarkStart w:id="33" w:name="X5ec5ff3cffda7201254b6c46f0d72c33064fca4"/>
    <w:p>
      <w:pPr>
        <w:pStyle w:val="Heading4"/>
      </w:pPr>
      <w:r>
        <w:t xml:space="preserve">4.1.1. Scope 3 - Upstream (Category 1: Purchased Goods &amp; Services)</w:t>
      </w:r>
    </w:p>
    <w:p>
      <w:pPr>
        <w:pStyle w:val="FirstParagraph"/>
      </w:pPr>
      <w:r>
        <w:t xml:space="preserve">Based on the illustrative BOM data, the total raw material carbon is 4.51 kgCO2e.</w:t>
      </w:r>
    </w:p>
    <w:bookmarkEnd w:id="33"/>
    <w:bookmarkStart w:id="34" w:name="Xbe96b9c3c7bb7d81597d2230d40316a741f1f3f"/>
    <w:p>
      <w:pPr>
        <w:pStyle w:val="Heading4"/>
      </w:pPr>
      <w:r>
        <w:t xml:space="preserve">4.1.2. Scope 3 - Upstream (Category 4: Transportation &amp; Distribution - to factory)</w:t>
      </w:r>
    </w:p>
    <w:p>
      <w:pPr>
        <w:numPr>
          <w:ilvl w:val="0"/>
          <w:numId w:val="1011"/>
        </w:numPr>
        <w:pStyle w:val="Compact"/>
      </w:pPr>
      <w:r>
        <w:t xml:space="preserve">Product Mass (approx.): 0.88 kg</w:t>
      </w:r>
    </w:p>
    <w:p>
      <w:pPr>
        <w:numPr>
          <w:ilvl w:val="0"/>
          <w:numId w:val="1011"/>
        </w:numPr>
        <w:pStyle w:val="Compact"/>
      </w:pPr>
      <w:r>
        <w:t xml:space="preserve">Upstream Transport Mode: Ocean Freight</w:t>
      </w:r>
    </w:p>
    <w:p>
      <w:pPr>
        <w:numPr>
          <w:ilvl w:val="0"/>
          <w:numId w:val="1011"/>
        </w:numPr>
        <w:pStyle w:val="Compact"/>
      </w:pPr>
      <w:r>
        <w:t xml:space="preserve">Upstream Transport Distance: 10,000 km</w:t>
      </w:r>
    </w:p>
    <w:p>
      <w:pPr>
        <w:numPr>
          <w:ilvl w:val="0"/>
          <w:numId w:val="1011"/>
        </w:numPr>
        <w:pStyle w:val="Compact"/>
      </w:pPr>
      <w:r>
        <w:t xml:space="preserve">Calculation: 0.88 kg * (1 tonne / 1000 kg) * 10,000 km * 0.01 kgCO2e/tonne-km = 0.088 kgCO2e.</w:t>
      </w:r>
    </w:p>
    <w:bookmarkEnd w:id="34"/>
    <w:bookmarkStart w:id="35" w:name="X4e859a6229bb8e11a06bd45ef4e6f65015cb9d6"/>
    <w:p>
      <w:pPr>
        <w:pStyle w:val="Heading4"/>
      </w:pPr>
      <w:r>
        <w:t xml:space="preserve">4.1.3. Scope 2 - Manufacturing (Purchased Electricity)</w:t>
      </w:r>
    </w:p>
    <w:p>
      <w:pPr>
        <w:numPr>
          <w:ilvl w:val="0"/>
          <w:numId w:val="1012"/>
        </w:numPr>
        <w:pStyle w:val="Compact"/>
      </w:pPr>
      <w:r>
        <w:t xml:space="preserve">Energy Intensity: 5.0 kWh/unit (yrwhszyfnp)</w:t>
      </w:r>
    </w:p>
    <w:p>
      <w:pPr>
        <w:numPr>
          <w:ilvl w:val="0"/>
          <w:numId w:val="1012"/>
        </w:numPr>
        <w:pStyle w:val="Compact"/>
      </w:pPr>
      <w:r>
        <w:t xml:space="preserve">Renewable Energy Usage: 50% (nskpxlgwus)</w:t>
      </w:r>
    </w:p>
    <w:p>
      <w:pPr>
        <w:numPr>
          <w:ilvl w:val="0"/>
          <w:numId w:val="1012"/>
        </w:numPr>
        <w:pStyle w:val="Compact"/>
      </w:pPr>
      <w:r>
        <w:t xml:space="preserve">Grid Electricity Emissions: 2.5 kWh * 0.6 kgCO2e/kWh = 1.50 kgCO2e.</w:t>
      </w:r>
    </w:p>
    <w:p>
      <w:pPr>
        <w:numPr>
          <w:ilvl w:val="0"/>
          <w:numId w:val="1012"/>
        </w:numPr>
        <w:pStyle w:val="Compact"/>
      </w:pPr>
      <w:r>
        <w:t xml:space="preserve">Renewable Electricity Emissions: 2.5 kWh * 0.01 kgCO2e/kWh = 0.025 kgCO2e.</w:t>
      </w:r>
    </w:p>
    <w:p>
      <w:pPr>
        <w:numPr>
          <w:ilvl w:val="0"/>
          <w:numId w:val="1012"/>
        </w:numPr>
        <w:pStyle w:val="Compact"/>
      </w:pPr>
      <w:r>
        <w:t xml:space="preserve">Total Scope 2 Manufacturing: 1.525 kgCO2e.</w:t>
      </w:r>
    </w:p>
    <w:bookmarkEnd w:id="35"/>
    <w:bookmarkStart w:id="36" w:name="X329964f91c9d9648ad2b9e33e314db3b2106687"/>
    <w:p>
      <w:pPr>
        <w:pStyle w:val="Heading4"/>
      </w:pPr>
      <w:r>
        <w:t xml:space="preserve">4.1.4. Scope 1 - Manufacturing (Direct Emissions - assumed minimal for product PCF)</w:t>
      </w:r>
    </w:p>
    <w:p>
      <w:pPr>
        <w:pStyle w:val="FirstParagraph"/>
      </w:pPr>
      <w:r>
        <w:t xml:space="preserve">For the \'factory_gate\' boundary, direct emissions from owned or controlled sources (e.g., on-site fuel combustion for heating or processes) would be included here. Assuming no significant direct fuel combustion or process emissions directly attributable to qjfuwnnyky\'s production for this illustrative report, Scope 1 is considered negligible for the product footprint.</w:t>
      </w:r>
    </w:p>
    <w:bookmarkEnd w:id="36"/>
    <w:bookmarkStart w:id="37" w:name="Xa74a55e44c124045c92b429a3d2cf41236f9804"/>
    <w:p>
      <w:pPr>
        <w:pStyle w:val="Heading4"/>
      </w:pPr>
      <w:r>
        <w:t xml:space="preserve">4.1.5. Scope 3 - Downstream (Category 9: Transportation &amp; Distribution - from factory)</w:t>
      </w:r>
    </w:p>
    <w:p>
      <w:pPr>
        <w:numPr>
          <w:ilvl w:val="0"/>
          <w:numId w:val="1013"/>
        </w:numPr>
        <w:pStyle w:val="Compact"/>
      </w:pPr>
      <w:r>
        <w:t xml:space="preserve">Product Mass (approx.): 0.88 kg</w:t>
      </w:r>
    </w:p>
    <w:p>
      <w:pPr>
        <w:numPr>
          <w:ilvl w:val="0"/>
          <w:numId w:val="1013"/>
        </w:numPr>
        <w:pStyle w:val="Compact"/>
      </w:pPr>
      <w:r>
        <w:t xml:space="preserve">Primary Downstream Transport Mode: Select Mode (e.g., Ocean Freight)</w:t>
      </w:r>
    </w:p>
    <w:p>
      <w:pPr>
        <w:numPr>
          <w:ilvl w:val="0"/>
          <w:numId w:val="1013"/>
        </w:numPr>
        <w:pStyle w:val="Compact"/>
      </w:pPr>
      <w:r>
        <w:t xml:space="preserve">Primary Downstream Transport Distance: tmkogkpjqv (e.g., 10,000 km)</w:t>
      </w:r>
    </w:p>
    <w:p>
      <w:pPr>
        <w:numPr>
          <w:ilvl w:val="0"/>
          <w:numId w:val="1013"/>
        </w:numPr>
        <w:pStyle w:val="Compact"/>
      </w:pPr>
      <w:r>
        <w:t xml:space="preserve">Calculation: 0.88 kg * (1 tonne / 1000 kg) * 10,000 km * 0.01 kgCO2e/tonne-km = 0.088 kgCO2e.</w:t>
      </w:r>
    </w:p>
    <w:p>
      <w:pPr>
        <w:numPr>
          <w:ilvl w:val="0"/>
          <w:numId w:val="1013"/>
        </w:numPr>
        <w:pStyle w:val="Compact"/>
      </w:pPr>
      <w:r>
        <w:t xml:space="preserve">Last-Mile Delivery Channel: Delivery Type (e.g., Road Van)</w:t>
      </w:r>
    </w:p>
    <w:p>
      <w:pPr>
        <w:numPr>
          <w:ilvl w:val="0"/>
          <w:numId w:val="1013"/>
        </w:numPr>
        <w:pStyle w:val="Compact"/>
      </w:pPr>
      <w:r>
        <w:t xml:space="preserve">Last-Mile Delivery Distance: 500 km</w:t>
      </w:r>
    </w:p>
    <w:p>
      <w:pPr>
        <w:numPr>
          <w:ilvl w:val="0"/>
          <w:numId w:val="1013"/>
        </w:numPr>
        <w:pStyle w:val="Compact"/>
      </w:pPr>
      <w:r>
        <w:t xml:space="preserve">Calculation: 0.88 kg * (1 tonne / 1000 kg) * 500 km * 0.1 kgCO2e/tonne-km = 0.044 kgCO2e.</w:t>
      </w:r>
    </w:p>
    <w:p>
      <w:pPr>
        <w:numPr>
          <w:ilvl w:val="0"/>
          <w:numId w:val="1013"/>
        </w:numPr>
        <w:pStyle w:val="Compact"/>
      </w:pPr>
      <w:r>
        <w:t xml:space="preserve">Total Scope 3 Downstream Transport: 0.132 kgCO2e.</w:t>
      </w:r>
    </w:p>
    <w:bookmarkEnd w:id="37"/>
    <w:bookmarkStart w:id="38" w:name="Xdc0b376f0e31e939c12acf8ff727f81cba9d016"/>
    <w:p>
      <w:pPr>
        <w:pStyle w:val="Heading4"/>
      </w:pPr>
      <w:r>
        <w:t xml:space="preserve">4.1.6. Scope 3 - Downstream (Category 11: Use of Sold Products - Beyond factory_gate)</w:t>
      </w:r>
    </w:p>
    <w:p>
      <w:pPr>
        <w:numPr>
          <w:ilvl w:val="0"/>
          <w:numId w:val="1014"/>
        </w:numPr>
        <w:pStyle w:val="Compact"/>
      </w:pPr>
      <w:r>
        <w:t xml:space="preserve">Product Lifespan: hmuujmmgse (e.g., 5 years)</w:t>
      </w:r>
    </w:p>
    <w:p>
      <w:pPr>
        <w:numPr>
          <w:ilvl w:val="0"/>
          <w:numId w:val="1014"/>
        </w:numPr>
        <w:pStyle w:val="Compact"/>
      </w:pPr>
      <w:r>
        <w:t xml:space="preserve">Energy Consumption in Use: rmezddvqhg (e.g., 10 kWh/year)</w:t>
      </w:r>
    </w:p>
    <w:p>
      <w:pPr>
        <w:numPr>
          <w:ilvl w:val="0"/>
          <w:numId w:val="1014"/>
        </w:numPr>
        <w:pStyle w:val="Compact"/>
      </w:pPr>
      <w:r>
        <w:t xml:space="preserve">Total Energy in Use: 10 kWh/year * 5 years = 50 kWh.</w:t>
      </w:r>
    </w:p>
    <w:p>
      <w:pPr>
        <w:numPr>
          <w:ilvl w:val="0"/>
          <w:numId w:val="1014"/>
        </w:numPr>
        <w:pStyle w:val="Compact"/>
      </w:pPr>
      <w:r>
        <w:t xml:space="preserve">Calculation: 50 kWh * 0.3 kgCO2e/kWh (European average grid) = 15.0 kgCO2e.</w:t>
      </w:r>
    </w:p>
    <w:bookmarkEnd w:id="38"/>
    <w:bookmarkStart w:id="39" w:name="X016e0dc0db92543ceccb6b1c10bca8a9e943f27"/>
    <w:p>
      <w:pPr>
        <w:pStyle w:val="Heading4"/>
      </w:pPr>
      <w:r>
        <w:t xml:space="preserve">4.1.7. Scope 3 - Downstream (Category 12: End-of-Life Treatment of Sold Products - Beyond factory_gate)</w:t>
      </w:r>
    </w:p>
    <w:p>
      <w:pPr>
        <w:numPr>
          <w:ilvl w:val="0"/>
          <w:numId w:val="1015"/>
        </w:numPr>
        <w:pStyle w:val="Compact"/>
      </w:pPr>
      <w:r>
        <w:t xml:space="preserve">Product Mass (approx.): 0.88 kg</w:t>
      </w:r>
    </w:p>
    <w:p>
      <w:pPr>
        <w:numPr>
          <w:ilvl w:val="0"/>
          <w:numId w:val="1015"/>
        </w:numPr>
        <w:pStyle w:val="Compact"/>
      </w:pPr>
      <w:r>
        <w:t xml:space="preserve">Recyclability Percentage: nmhwmvyved (e.g., 70%)</w:t>
      </w:r>
    </w:p>
    <w:p>
      <w:pPr>
        <w:numPr>
          <w:ilvl w:val="0"/>
          <w:numId w:val="1015"/>
        </w:numPr>
        <w:pStyle w:val="Compact"/>
      </w:pPr>
      <w:r>
        <w:t xml:space="preserve">Mass Recycled: 0.88 kg * 70% = 0.616 kg.</w:t>
      </w:r>
    </w:p>
    <w:p>
      <w:pPr>
        <w:numPr>
          <w:ilvl w:val="0"/>
          <w:numId w:val="1015"/>
        </w:numPr>
        <w:pStyle w:val="Compact"/>
      </w:pPr>
      <w:r>
        <w:t xml:space="preserve">Mass Disposed: 0.88 kg * 30% = 0.264 kg.</w:t>
      </w:r>
    </w:p>
    <w:p>
      <w:pPr>
        <w:numPr>
          <w:ilvl w:val="0"/>
          <w:numId w:val="1015"/>
        </w:numPr>
        <w:pStyle w:val="Compact"/>
      </w:pPr>
      <w:r>
        <w:t xml:space="preserve">Emissions from Disposal: 0.264 kg * 0.5 kgCO2e/kg = 0.132 kgCO2e.</w:t>
      </w:r>
    </w:p>
    <w:p>
      <w:pPr>
        <w:numPr>
          <w:ilvl w:val="0"/>
          <w:numId w:val="1015"/>
        </w:numPr>
        <w:pStyle w:val="Compact"/>
      </w:pPr>
      <w:r>
        <w:t xml:space="preserve">Credits from Recycling: 0.616 kg * -1.0 kgCO2e/kg = -0.616 kgCO2e.</w:t>
      </w:r>
    </w:p>
    <w:p>
      <w:pPr>
        <w:numPr>
          <w:ilvl w:val="0"/>
          <w:numId w:val="1015"/>
        </w:numPr>
        <w:pStyle w:val="Compact"/>
      </w:pPr>
      <w:r>
        <w:t xml:space="preserve">Net End-of-Life Emissions: 0.132 kgCO2e - 0.616 kgCO2e = -0.484 kgCO2e (Net avoided emissions).</w:t>
      </w:r>
    </w:p>
    <w:bookmarkEnd w:id="39"/>
    <w:bookmarkEnd w:id="40"/>
    <w:bookmarkStart w:id="41" w:name="X20b661f61d4e66c41b5c40531359b4f81ea2ad4"/>
    <w:p>
      <w:pPr>
        <w:pStyle w:val="Heading3"/>
      </w:pPr>
      <w:r>
        <w:t xml:space="preserve">4.2. Total Product Carbon Footprint Summary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4.51</w:t>
            </w:r>
          </w:p>
        </w:tc>
      </w:tr>
      <w:tr>
        <w:tc>
          <w:tcPr/>
          <w:p>
            <w:pPr>
              <w:pStyle w:val="Compact"/>
              <w:jc w:val="left"/>
            </w:pPr>
            <w:r>
              <w:t xml:space="preserve">Upstream Transportation to Factory</w:t>
            </w:r>
          </w:p>
        </w:tc>
        <w:tc>
          <w:tcPr/>
          <w:p>
            <w:pPr>
              <w:pStyle w:val="Compact"/>
              <w:jc w:val="left"/>
            </w:pPr>
            <w:r>
              <w:t xml:space="preserve">Scope 3, Category 4</w:t>
            </w:r>
          </w:p>
        </w:tc>
        <w:tc>
          <w:tcPr/>
          <w:p>
            <w:pPr>
              <w:pStyle w:val="Compact"/>
              <w:jc w:val="left"/>
            </w:pPr>
            <w:r>
              <w:t xml:space="preserve">0.088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1.525</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 (Assumed negligible)</w:t>
            </w:r>
          </w:p>
        </w:tc>
      </w:tr>
      <w:tr>
        <w:tc>
          <w:tcPr/>
          <w:p>
            <w:pPr>
              <w:pStyle w:val="Compact"/>
              <w:jc w:val="left"/>
            </w:pPr>
            <w:r>
              <w:t xml:space="preserve">Downstream Transportation from Factory</w:t>
            </w:r>
          </w:p>
        </w:tc>
        <w:tc>
          <w:tcPr/>
          <w:p>
            <w:pPr>
              <w:pStyle w:val="Compact"/>
              <w:jc w:val="left"/>
            </w:pPr>
            <w:r>
              <w:t xml:space="preserve">Scope 3, Category 9</w:t>
            </w:r>
          </w:p>
        </w:tc>
        <w:tc>
          <w:tcPr/>
          <w:p>
            <w:pPr>
              <w:pStyle w:val="Compact"/>
              <w:jc w:val="left"/>
            </w:pPr>
            <w:r>
              <w:t xml:space="preserve">0.132</w:t>
            </w:r>
          </w:p>
        </w:tc>
      </w:tr>
      <w:tr>
        <w:tc>
          <w:tcPr/>
          <w:p>
            <w:pPr>
              <w:pStyle w:val="Compact"/>
              <w:jc w:val="left"/>
            </w:pPr>
            <w:r>
              <w:rPr>
                <w:bCs/>
                <w:b/>
              </w:rPr>
              <w:t xml:space="preserve">Subtotal (factory_gate boundary)</w:t>
            </w:r>
          </w:p>
        </w:tc>
        <w:tc>
          <w:tcPr/>
          <w:p>
            <w:pPr>
              <w:pStyle w:val="Compact"/>
            </w:pPr>
          </w:p>
        </w:tc>
        <w:tc>
          <w:tcPr/>
          <w:p>
            <w:pPr>
              <w:pStyle w:val="Compact"/>
              <w:jc w:val="left"/>
            </w:pPr>
            <w:r>
              <w:rPr>
                <w:bCs/>
                <w:b/>
              </w:rPr>
              <w:t xml:space="preserve">6.255</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-0.484</w:t>
            </w:r>
          </w:p>
        </w:tc>
      </w:tr>
      <w:tr>
        <w:tc>
          <w:tcPr>
            <w:gridSpan w:val="2"/>
          </w:tcPr>
          <w:p>
            <w:pPr>
              <w:pStyle w:val="Compact"/>
              <w:jc w:val="left"/>
            </w:pPr>
            <w:r>
              <w:rPr>
                <w:bCs/>
                <w:b/>
              </w:rPr>
              <w:t xml:space="preserve">TOTAL PRODUCT CARBON FOOTPRINT (Illustrative, including downstream)</w:t>
            </w:r>
          </w:p>
        </w:tc>
        <w:tc>
          <w:tcPr/>
          <w:p>
            <w:pPr>
              <w:pStyle w:val="Compact"/>
              <w:jc w:val="left"/>
            </w:pPr>
            <w:r>
              <w:rPr>
                <w:bCs/>
                <w:b/>
              </w:rPr>
              <w:t xml:space="preserve">20.771 kgCO2e/unit</w:t>
            </w:r>
          </w:p>
        </w:tc>
      </w:tr>
    </w:tbl>
    <w:p>
      <w:pPr>
        <w:pStyle w:val="BodyText"/>
      </w:pPr>
      <w:r>
        <w:rPr>
          <w:bCs/>
          <w:b/>
        </w:rPr>
        <w:t xml:space="preserve">Total PCF at factory_gate boundary: 6.255 kgCO2e/unit.</w:t>
      </w:r>
    </w:p>
    <w:p>
      <w:pPr>
        <w:pStyle w:val="BodyText"/>
      </w:pPr>
      <w:r>
        <w:rPr>
          <w:bCs/>
          <w:b/>
        </w:rPr>
        <w:t xml:space="preserve">Total PCF (full lifecycle, including downstream): 20.771 kgCO2e/unit.</w:t>
      </w:r>
    </w:p>
    <w:bookmarkEnd w:id="41"/>
    <w:bookmarkStart w:id="42" w:name="X7ef73fe3d39a8d84fae696b42f814aa0d860ec0"/>
    <w:p>
      <w:pPr>
        <w:pStyle w:val="Heading3"/>
      </w:pPr>
      <w:r>
        <w:t xml:space="preserve">4.3. 2026 LSR Update (Land Sector and Removals Standard)</w:t>
      </w:r>
    </w:p>
    <w:p>
      <w:pPr>
        <w:pStyle w:val="FirstParagraph"/>
      </w:pPr>
      <w:r>
        <w:t xml:space="preserve">In accordance with the 2026 LSR update, this analysis acknowledges the importance of land use change and carbon removals. While specific land use data for each component of qjfuwnnyky\'s supply chain (gvpxygxx) was not available to quantify, the principles of the LSR Standard would integrate:</w:t>
      </w:r>
    </w:p>
    <w:p>
      <w:pPr>
        <w:numPr>
          <w:ilvl w:val="0"/>
          <w:numId w:val="1016"/>
        </w:numPr>
        <w:pStyle w:val="Compact"/>
      </w:pPr>
      <w:r>
        <w:t xml:space="preserve">Emissions and removals from land use and land-use change (LULUC) associated with raw material production (e.g., deforestation for timber, land conversion for agriculture).</w:t>
      </w:r>
    </w:p>
    <w:p>
      <w:pPr>
        <w:numPr>
          <w:ilvl w:val="0"/>
          <w:numId w:val="1016"/>
        </w:numPr>
        <w:pStyle w:val="Compact"/>
      </w:pPr>
      <w:r>
        <w:t xml:space="preserve">Carbon removals achieved through carbon sequestration projects or sustainable land management practices within the supply chain.</w:t>
      </w:r>
    </w:p>
    <w:p>
      <w:pPr>
        <w:pStyle w:val="FirstParagraph"/>
      </w:pPr>
      <w:r>
        <w:t xml:space="preserve">For future analyses, primary data collection on LULUC impacts and carbon removal activities will be prioritized to provide quantified LSR contributions.</w:t>
      </w:r>
    </w:p>
    <w:bookmarkEnd w:id="42"/>
    <w:bookmarkStart w:id="43" w:name="scope-3-compliance-2026-requirements"/>
    <w:p>
      <w:pPr>
        <w:pStyle w:val="Heading3"/>
      </w:pPr>
      <w:r>
        <w:t xml:space="preserve">4.4. Scope 3 Compliance (2026 Requirements)</w:t>
      </w:r>
    </w:p>
    <w:p>
      <w:pPr>
        <w:pStyle w:val="FirstParagraph"/>
      </w:pPr>
      <w:r>
        <w:t xml:space="preserve">This report aims for at least 95% coverage for Scope 3 emissions. By detailing emissions from purchased goods and services, transportation, use phase, and end-of-life, the analysis comprehensively addresses the most significant categories. Data gaps for less material Scope 3 categories are acknowledged, and efforts will be made to enhance data collection for these areas in subsequent reports to ensure full compliance with evolving standards.</w:t>
      </w:r>
    </w:p>
    <w:p>
      <w:r>
        <w:pict>
          <v:rect style="width:0;height:1.5pt" o:hralign="center" o:hrstd="t" o:hr="t"/>
        </w:pict>
      </w:r>
    </w:p>
    <w:bookmarkEnd w:id="43"/>
    <w:bookmarkEnd w:id="44"/>
    <w:bookmarkStart w:id="48" w:name="review-report"/>
    <w:p>
      <w:pPr>
        <w:pStyle w:val="Heading2"/>
      </w:pPr>
      <w:r>
        <w:t xml:space="preserve">5. Review &amp; Report</w:t>
      </w:r>
    </w:p>
    <w:p>
      <w:pPr>
        <w:pStyle w:val="FirstParagraph"/>
      </w:pPr>
      <w:r>
        <w:t xml:space="preserve">This section summarizes the key findings, identifies emission hotspots, and discusses the reliability of the analysis.</w:t>
      </w:r>
    </w:p>
    <w:bookmarkStart w:id="45" w:name="key-findings-hotspots"/>
    <w:p>
      <w:pPr>
        <w:pStyle w:val="Heading3"/>
      </w:pPr>
      <w:r>
        <w:t xml:space="preserve">5.1. Key Findings &amp; Hotspots</w:t>
      </w:r>
    </w:p>
    <w:p>
      <w:pPr>
        <w:pStyle w:val="FirstParagraph"/>
      </w:pPr>
      <w:r>
        <w:t xml:space="preserve">Based on the illustrative analysis, the primary emission hotspots for qjfuwnnyky are:</w:t>
      </w:r>
    </w:p>
    <w:p>
      <w:pPr>
        <w:numPr>
          <w:ilvl w:val="0"/>
          <w:numId w:val="1017"/>
        </w:numPr>
        <w:pStyle w:val="Compact"/>
      </w:pPr>
      <w:r>
        <w:rPr>
          <w:bCs/>
          <w:b/>
        </w:rPr>
        <w:t xml:space="preserve">Use Phase:</w:t>
      </w:r>
      <w:r>
        <w:t xml:space="preserve"> </w:t>
      </w:r>
      <w:r>
        <w:t xml:space="preserve">With 15.0 kgCO2e/unit, the energy consumption during the product\'s lifespan is the most significant contributor to the overall lifecycle footprint (when included beyond the factory_gate boundary). This highlights the importance of energy efficiency for consumer use.</w:t>
      </w:r>
    </w:p>
    <w:p>
      <w:pPr>
        <w:numPr>
          <w:ilvl w:val="0"/>
          <w:numId w:val="1017"/>
        </w:numPr>
        <w:pStyle w:val="Compact"/>
      </w:pPr>
      <w:r>
        <w:rPr>
          <w:bCs/>
          <w:b/>
        </w:rPr>
        <w:t xml:space="preserve">Raw Materials:</w:t>
      </w:r>
      <w:r>
        <w:t xml:space="preserve"> </w:t>
      </w:r>
      <w:r>
        <w:t xml:space="preserve">The acquisition and processing of materials (4.51 kgCO2e/unit) represent the largest share within the \'factory_gate\' boundary. Plastics, electronics, and metals contribute significantly, emphasizing the need for sustainable sourcing and design for material efficiency.</w:t>
      </w:r>
    </w:p>
    <w:p>
      <w:pPr>
        <w:numPr>
          <w:ilvl w:val="0"/>
          <w:numId w:val="1017"/>
        </w:numPr>
        <w:pStyle w:val="Compact"/>
      </w:pPr>
      <w:r>
        <w:rPr>
          <w:bCs/>
          <w:b/>
        </w:rPr>
        <w:t xml:space="preserve">Manufacturing Energy:</w:t>
      </w:r>
      <w:r>
        <w:t xml:space="preserve"> </w:t>
      </w:r>
      <w:r>
        <w:t xml:space="preserve">Purchased electricity for manufacturing (1.525 kgCO2e/unit) is also a notable hotspot, underscoring the benefits of increasing renewable energy usage and improving energy efficiency at the production facility.</w:t>
      </w:r>
    </w:p>
    <w:p>
      <w:pPr>
        <w:numPr>
          <w:ilvl w:val="0"/>
          <w:numId w:val="1017"/>
        </w:numPr>
        <w:pStyle w:val="Compact"/>
      </w:pPr>
      <w:r>
        <w:rPr>
          <w:bCs/>
          <w:b/>
        </w:rPr>
        <w:t xml:space="preserve">End-of-Life (Net Benefit):</w:t>
      </w:r>
      <w:r>
        <w:t xml:space="preserve"> </w:t>
      </w:r>
      <w:r>
        <w:t xml:space="preserve">The high recyclability percentage (70%) and potential for circular programs lead to a net avoided emission, demonstrating the positive impact of robust EoL strategies.</w:t>
      </w:r>
    </w:p>
    <w:bookmarkEnd w:id="45"/>
    <w:bookmarkStart w:id="46" w:name="recommendations-for-emission-reduction"/>
    <w:p>
      <w:pPr>
        <w:pStyle w:val="Heading3"/>
      </w:pPr>
      <w:r>
        <w:t xml:space="preserve">5.2. Recommendations for Emission Reduction</w:t>
      </w:r>
    </w:p>
    <w:p>
      <w:pPr>
        <w:pStyle w:val="FirstParagraph"/>
      </w:pPr>
      <w:r>
        <w:t xml:space="preserve">To further reduce the carbon footprint of qjfuwnnyky, sloejdztyu should consider:</w:t>
      </w:r>
    </w:p>
    <w:p>
      <w:pPr>
        <w:numPr>
          <w:ilvl w:val="0"/>
          <w:numId w:val="1018"/>
        </w:numPr>
        <w:pStyle w:val="Compact"/>
      </w:pPr>
      <w:r>
        <w:rPr>
          <w:bCs/>
          <w:b/>
        </w:rPr>
        <w:t xml:space="preserve">Material Optimization:</w:t>
      </w:r>
      <w:r>
        <w:t xml:space="preserve"> </w:t>
      </w:r>
      <w:r>
        <w:t xml:space="preserve">Explore lighter materials, increased recycled content, and materials with lower inherent emission factors. Collaborate with suppliers to understand their upstream emissions.</w:t>
      </w:r>
    </w:p>
    <w:p>
      <w:pPr>
        <w:numPr>
          <w:ilvl w:val="0"/>
          <w:numId w:val="1018"/>
        </w:numPr>
        <w:pStyle w:val="Compact"/>
      </w:pPr>
      <w:r>
        <w:rPr>
          <w:bCs/>
          <w:b/>
        </w:rPr>
        <w:t xml:space="preserve">Manufacturing Efficiency:</w:t>
      </w:r>
      <w:r>
        <w:t xml:space="preserve"> </w:t>
      </w:r>
      <w:r>
        <w:t xml:space="preserve">Continue to invest in renewable energy sources for the manufacturing facility and optimize production processes to reduce energy intensity.</w:t>
      </w:r>
    </w:p>
    <w:p>
      <w:pPr>
        <w:numPr>
          <w:ilvl w:val="0"/>
          <w:numId w:val="1018"/>
        </w:numPr>
        <w:pStyle w:val="Compact"/>
      </w:pPr>
      <w:r>
        <w:rPr>
          <w:bCs/>
          <w:b/>
        </w:rPr>
        <w:t xml:space="preserve">Product Design for Use Phase:</w:t>
      </w:r>
      <w:r>
        <w:t xml:space="preserve"> </w:t>
      </w:r>
      <w:r>
        <w:t xml:space="preserve">Focus on improving the energy efficiency of qjfuwnnyky during its operational lifespan to mitigate the largest lifecycle impact. Educate consumers on efficient use.</w:t>
      </w:r>
    </w:p>
    <w:p>
      <w:pPr>
        <w:numPr>
          <w:ilvl w:val="0"/>
          <w:numId w:val="1018"/>
        </w:numPr>
        <w:pStyle w:val="Compact"/>
      </w:pPr>
      <w:r>
        <w:rPr>
          <w:bCs/>
          <w:b/>
        </w:rPr>
        <w:t xml:space="preserve">Enhanced Circularity:</w:t>
      </w:r>
      <w:r>
        <w:t xml:space="preserve"> </w:t>
      </w:r>
      <w:r>
        <w:t xml:space="preserve">Leverage circular/take-back programs (ruihtqovvn) to maximize recycling rates and explore repair/refurbishment models to extend product lifespan.</w:t>
      </w:r>
    </w:p>
    <w:p>
      <w:pPr>
        <w:numPr>
          <w:ilvl w:val="0"/>
          <w:numId w:val="1018"/>
        </w:numPr>
        <w:pStyle w:val="Compact"/>
      </w:pPr>
      <w:r>
        <w:rPr>
          <w:bCs/>
          <w:b/>
        </w:rPr>
        <w:t xml:space="preserve">Logistics Optimization:</w:t>
      </w:r>
      <w:r>
        <w:t xml:space="preserve"> </w:t>
      </w:r>
      <w:r>
        <w:t xml:space="preserve">Optimize transport routes, modes, and load factors for both upstream and downstream logistics to minimize transport-related emissions.</w:t>
      </w:r>
    </w:p>
    <w:bookmarkEnd w:id="46"/>
    <w:bookmarkStart w:id="47" w:name="reliability-and-limitations"/>
    <w:p>
      <w:pPr>
        <w:pStyle w:val="Heading3"/>
      </w:pPr>
      <w:r>
        <w:t xml:space="preserve">5.3. Reliability and Limitations</w:t>
      </w:r>
    </w:p>
    <w:p>
      <w:pPr>
        <w:pStyle w:val="FirstParagraph"/>
      </w:pPr>
      <w:r>
        <w:t xml:space="preserve">The reliability of this PCF analysis is high due to adherence to the GHG Protocol and the incorporation of specific company data where available. However, limitations include:</w:t>
      </w:r>
    </w:p>
    <w:p>
      <w:pPr>
        <w:numPr>
          <w:ilvl w:val="0"/>
          <w:numId w:val="1019"/>
        </w:numPr>
        <w:pStyle w:val="Compact"/>
      </w:pPr>
      <w:r>
        <w:rPr>
          <w:bCs/>
          <w:b/>
        </w:rPr>
        <w:t xml:space="preserve">Illustrative Emission Factors:</w:t>
      </w:r>
      <w:r>
        <w:t xml:space="preserve"> </w:t>
      </w:r>
      <w:r>
        <w:t xml:space="preserve">This report utilized illustrative emission factors from industry-standard databases (Ecoinvent/DEFRA proxies) for certain calculations due to the nature of the prompt. For a definitive report, direct, primary supplier data and specific EFs from licensed databases would be used.</w:t>
      </w:r>
    </w:p>
    <w:p>
      <w:pPr>
        <w:numPr>
          <w:ilvl w:val="0"/>
          <w:numId w:val="1019"/>
        </w:numPr>
        <w:pStyle w:val="Compact"/>
      </w:pPr>
      <w:r>
        <w:rPr>
          <w:bCs/>
          <w:b/>
        </w:rPr>
        <w:t xml:space="preserve">Data Gaps in LSR:</w:t>
      </w:r>
      <w:r>
        <w:t xml:space="preserve"> </w:t>
      </w:r>
      <w:r>
        <w:t xml:space="preserve">While the 2026 LSR Standard was acknowledged, specific quantified impacts related to land use change and carbon removals were not available for integration into the numerical results.</w:t>
      </w:r>
    </w:p>
    <w:p>
      <w:pPr>
        <w:numPr>
          <w:ilvl w:val="0"/>
          <w:numId w:val="1019"/>
        </w:numPr>
        <w:pStyle w:val="Compact"/>
      </w:pPr>
      <w:r>
        <w:rPr>
          <w:bCs/>
          <w:b/>
        </w:rPr>
        <w:t xml:space="preserve">Boundary Scope:</w:t>
      </w:r>
      <w:r>
        <w:t xml:space="preserve"> </w:t>
      </w:r>
      <w:r>
        <w:t xml:space="preserve">The \'factory_gate\' boundary limits direct comparisons for the full lifecycle, though downstream elements were analyzed separately as requested.</w:t>
      </w:r>
    </w:p>
    <w:p>
      <w:pPr>
        <w:pStyle w:val="FirstParagraph"/>
      </w:pPr>
      <w:r>
        <w:t xml:space="preserve">This report provides a robust baseline for sloejdztyu to understand and manage the carbon footprint of qjfuwnnyky, informing strategic decisions for sustainable product development and operations.</w:t>
      </w:r>
    </w:p>
    <w:bookmarkEnd w:id="47"/>
    <w:bookmarkEnd w:id="48"/>
    <w:bookmarkEnd w:id="49"/>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qjfuwnnyky</dc:title>
  <dc:creator/>
  <dc:description>Detailed Product Carbon Footprint (PCF) analysis report for qjfuwnnyky, conducted by ymirnlzdyr for sloejdztyu, adhering to GHG Protocol standards and 2026 LSR updates.</dc:description>
  <dc:language>en</dc:language>
  <cp:keywords/>
  <dcterms:created xsi:type="dcterms:W3CDTF">2026-07-16T02:15:56Z</dcterms:created>
  <dcterms:modified xsi:type="dcterms:W3CDTF">2026-07-16T02:15:56Z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