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qiyssizpsd</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qiyssizpsd</w:t>
      </w:r>
    </w:p>
    <w:p>
      <w:pPr>
        <w:pStyle w:val="BodyText"/>
      </w:pPr>
      <w:r>
        <w:rPr>
          <w:bCs/>
          <w:b/>
        </w:rPr>
        <w:t xml:space="preserve">Company Name:</w:t>
      </w:r>
      <w:r>
        <w:t xml:space="preserve"> </w:t>
      </w:r>
      <w:r>
        <w:t xml:space="preserve">gpokifhmtp</w:t>
      </w:r>
    </w:p>
    <w:p>
      <w:pPr>
        <w:pStyle w:val="BodyText"/>
      </w:pPr>
      <w:r>
        <w:rPr>
          <w:bCs/>
          <w:b/>
        </w:rPr>
        <w:t xml:space="preserve">Senior Sustainability Consultant:</w:t>
      </w:r>
      <w:r>
        <w:t xml:space="preserve"> </w:t>
      </w:r>
      <w:r>
        <w:t xml:space="preserve">qzjoyutgjx</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actual emissions may vary due to specific operational nuances not captured in generic datasets or assumptions made for placeholders.</w:t>
      </w:r>
    </w:p>
    <w:bookmarkEnd w:id="20"/>
    <w:p>
      <w:pPr>
        <w:pStyle w:val="BodyText"/>
      </w:pPr>
      <w:r>
        <w:t xml:space="preserve">Generated Date: May 26, 2026</w:t>
      </w:r>
    </w:p>
    <w:bookmarkStart w:id="45" w:name="X600f12f2ff2268c5bce425b5d9ecfd23aef5c7f"/>
    <w:p>
      <w:pPr>
        <w:pStyle w:val="Heading1"/>
      </w:pPr>
      <w:r>
        <w:t xml:space="preserve">Product Carbon Footprint Analysis for qiyssizpsd</w:t>
      </w:r>
    </w:p>
    <w:p>
      <w:pPr>
        <w:pStyle w:val="FirstParagraph"/>
      </w:pPr>
      <w:r>
        <w:t xml:space="preserve">As qzjoyutgjx, Senior Sustainability Consultant specializing in GHG Protocol, this report provides a high-detail Product Carbon Footprint (PCF) analysis for the product qiyssizpsd, manufactured by gpokifhmtp. This analysis adheres strictly to the GHG Protocol and incorporates the 2026 Land Sector and Removals (LSR) Standard update, aiming for at least 95% coverage for Scope 3 emissions. The methodology follows a cradle-to-gate approach with an extended consideration for the use phase and end-of-life impacts to provide a comprehensive lifecycle perspective.</w:t>
      </w:r>
    </w:p>
    <w:p>
      <w:r>
        <w:pict>
          <v:rect style="width:0;height:1.5pt" o:hralign="center" o:hrstd="t" o:hr="t"/>
        </w:pict>
      </w:r>
    </w:p>
    <w:bookmarkStart w:id="21" w:name="introduction"/>
    <w:p>
      <w:pPr>
        <w:pStyle w:val="Heading2"/>
      </w:pPr>
      <w:r>
        <w:t xml:space="preserve">1. Introduction</w:t>
      </w:r>
    </w:p>
    <w:p>
      <w:pPr>
        <w:pStyle w:val="FirstParagraph"/>
      </w:pPr>
      <w:r>
        <w:t xml:space="preserve">The increasing imperative for businesses to understand and mitigate their environmental impact necessitates robust carbon accounting. This report details the Product Carbon Footprint (PCF) for qiyssizpsd, providing gpokifhmtp with actionable insights into its product\'s greenhouse gas (GHG) emissions across its lifecycle. The analysis identifies key emission hotspots and offers recommendations for reduction strategies.</w:t>
      </w:r>
    </w:p>
    <w:p>
      <w:pPr>
        <w:numPr>
          <w:ilvl w:val="0"/>
          <w:numId w:val="1001"/>
        </w:numPr>
        <w:pStyle w:val="Compact"/>
      </w:pPr>
      <w:r>
        <w:rPr>
          <w:bCs/>
          <w:b/>
        </w:rPr>
        <w:t xml:space="preserve">Product:</w:t>
      </w:r>
      <w:r>
        <w:t xml:space="preserve"> </w:t>
      </w:r>
      <w:r>
        <w:t xml:space="preserve">qiyssizpsd</w:t>
      </w:r>
    </w:p>
    <w:p>
      <w:pPr>
        <w:numPr>
          <w:ilvl w:val="0"/>
          <w:numId w:val="1001"/>
        </w:numPr>
        <w:pStyle w:val="Compact"/>
      </w:pPr>
      <w:r>
        <w:rPr>
          <w:bCs/>
          <w:b/>
        </w:rPr>
        <w:t xml:space="preserve">Company Name:</w:t>
      </w:r>
      <w:r>
        <w:t xml:space="preserve"> </w:t>
      </w:r>
      <w:r>
        <w:t xml:space="preserve">gpokifhmtp</w:t>
      </w:r>
    </w:p>
    <w:p>
      <w:pPr>
        <w:numPr>
          <w:ilvl w:val="0"/>
          <w:numId w:val="1001"/>
        </w:numPr>
        <w:pStyle w:val="Compact"/>
      </w:pPr>
      <w:r>
        <w:rPr>
          <w:bCs/>
          <w:b/>
        </w:rPr>
        <w:t xml:space="preserve">Senior Sustainability Consultant:</w:t>
      </w:r>
      <w:r>
        <w:t xml:space="preserve"> </w:t>
      </w:r>
      <w:r>
        <w:t xml:space="preserve">qzjoyutgjx</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Report Focus:</w:t>
      </w:r>
      <w:r>
        <w:t xml:space="preserve"> </w:t>
      </w:r>
      <w:r>
        <w:t xml:space="preserve">High-detail Product Carbon Footprint (PCF) analysis.</w:t>
      </w:r>
    </w:p>
    <w:p>
      <w:r>
        <w:pict>
          <v:rect style="width:0;height:1.5pt" o:hralign="center" o:hrstd="t" o:hr="t"/>
        </w:pict>
      </w:r>
    </w:p>
    <w:bookmarkEnd w:id="21"/>
    <w:bookmarkStart w:id="27" w:name="methodology"/>
    <w:p>
      <w:pPr>
        <w:pStyle w:val="Heading2"/>
      </w:pPr>
      <w:r>
        <w:t xml:space="preserve">2. Methodology</w:t>
      </w:r>
    </w:p>
    <w:p>
      <w:pPr>
        <w:pStyle w:val="FirstParagraph"/>
      </w:pPr>
      <w:r>
        <w:t xml:space="preserve">The PCF analysis is conducted following the five-step methodology recommended by the GHG Protocol Product Standard, integrating the latest 2026 LSR Standard for land use and removals and ensuring comprehensive Scope 3 coverage.</w:t>
      </w:r>
    </w:p>
    <w:bookmarkStart w:id="22"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1.0 unit of qiyssizpsd.</w:t>
      </w:r>
    </w:p>
    <w:p>
      <w:pPr>
        <w:numPr>
          <w:ilvl w:val="0"/>
          <w:numId w:val="1002"/>
        </w:numPr>
        <w:pStyle w:val="Compact"/>
      </w:pPr>
      <w:r>
        <w:rPr>
          <w:bCs/>
          <w:b/>
        </w:rPr>
        <w:t xml:space="preserve">System Boundary:</w:t>
      </w:r>
      <w:r>
        <w:t xml:space="preserve"> </w:t>
      </w:r>
      <w:r>
        <w:t xml:space="preserve">Primarily "factory_gate" (cradle-to-gate), encompassing raw material acquisition, manufacturing, and transport to the factory gate. However, per client requirements, the analysis extends to include the use phase and end-of-life scenarios to provide a more holistic lifecycle perspective.</w:t>
      </w:r>
    </w:p>
    <w:p>
      <w:pPr>
        <w:numPr>
          <w:ilvl w:val="0"/>
          <w:numId w:val="1002"/>
        </w:numPr>
        <w:pStyle w:val="Compact"/>
      </w:pPr>
      <w:r>
        <w:rPr>
          <w:bCs/>
          <w:b/>
        </w:rPr>
        <w:t xml:space="preserve">Geographic Scope:</w:t>
      </w:r>
      <w:r>
        <w:t xml:space="preserve"> </w:t>
      </w:r>
      <w:r>
        <w:t xml:space="preserve">Final Production Country: China, with a Supply Chain Focus: Europe Focused for upstream transportation.</w:t>
      </w:r>
    </w:p>
    <w:p>
      <w:pPr>
        <w:numPr>
          <w:ilvl w:val="0"/>
          <w:numId w:val="1002"/>
        </w:numPr>
        <w:pStyle w:val="Compact"/>
      </w:pPr>
      <w:r>
        <w:rPr>
          <w:bCs/>
          <w:b/>
        </w:rPr>
        <w:t xml:space="preserve">Allocation:</w:t>
      </w:r>
      <w:r>
        <w:t xml:space="preserve"> </w:t>
      </w:r>
      <w:r>
        <w:t xml:space="preserve">Emissions are allocated based on mass for co-products and economic value where relevant, in line with GHG Protocol guidance.</w:t>
      </w:r>
    </w:p>
    <w:bookmarkEnd w:id="22"/>
    <w:bookmarkStart w:id="23" w:name="map-lifecycle-lci-inventory-stages"/>
    <w:p>
      <w:pPr>
        <w:pStyle w:val="Heading3"/>
      </w:pPr>
      <w:r>
        <w:t xml:space="preserve">2.2. Map Lifecycle (LCI Inventory Stages)</w:t>
      </w:r>
    </w:p>
    <w:p>
      <w:pPr>
        <w:pStyle w:val="FirstParagraph"/>
      </w:pPr>
      <w:r>
        <w:t xml:space="preserve">The lifecycle stages considered for qiyssizpsd include:</w:t>
      </w:r>
    </w:p>
    <w:p>
      <w:pPr>
        <w:numPr>
          <w:ilvl w:val="0"/>
          <w:numId w:val="1003"/>
        </w:numPr>
        <w:pStyle w:val="Compact"/>
      </w:pPr>
      <w:r>
        <w:rPr>
          <w:bCs/>
          <w:b/>
        </w:rPr>
        <w:t xml:space="preserve">Raw Material Acquisition &amp; Pre-processing:</w:t>
      </w:r>
      <w:r>
        <w:t xml:space="preserve"> </w:t>
      </w:r>
      <w:r>
        <w:t xml:space="preserve">Extraction, processing, and refining of raw materials.</w:t>
      </w:r>
    </w:p>
    <w:p>
      <w:pPr>
        <w:numPr>
          <w:ilvl w:val="0"/>
          <w:numId w:val="1003"/>
        </w:numPr>
        <w:pStyle w:val="Compact"/>
      </w:pPr>
      <w:r>
        <w:rPr>
          <w:bCs/>
          <w:b/>
        </w:rPr>
        <w:t xml:space="preserve">Manufacturing:</w:t>
      </w:r>
      <w:r>
        <w:t xml:space="preserve"> </w:t>
      </w:r>
      <w:r>
        <w:t xml:space="preserve">Production processes at gpokifhmtp\'s facilities in China, including energy consumption.</w:t>
      </w:r>
    </w:p>
    <w:p>
      <w:pPr>
        <w:numPr>
          <w:ilvl w:val="0"/>
          <w:numId w:val="1003"/>
        </w:numPr>
        <w:pStyle w:val="Compact"/>
      </w:pPr>
      <w:r>
        <w:rPr>
          <w:bCs/>
          <w:b/>
        </w:rPr>
        <w:t xml:space="preserve">Transportation:</w:t>
      </w:r>
    </w:p>
    <w:p>
      <w:pPr>
        <w:numPr>
          <w:ilvl w:val="1"/>
          <w:numId w:val="1004"/>
        </w:numPr>
        <w:pStyle w:val="Compact"/>
      </w:pPr>
      <w:r>
        <w:rPr>
          <w:bCs/>
          <w:b/>
        </w:rPr>
        <w:t xml:space="preserve">Upstream (Inbound Logistics):</w:t>
      </w:r>
      <w:r>
        <w:t xml:space="preserve"> </w:t>
      </w:r>
      <w:r>
        <w:t xml:space="preserve">Transport of raw materials and components to the manufacturing facility in China (Supply Chain Focus: Europe Focused for origin).</w:t>
      </w:r>
    </w:p>
    <w:p>
      <w:pPr>
        <w:numPr>
          <w:ilvl w:val="1"/>
          <w:numId w:val="1004"/>
        </w:numPr>
        <w:pStyle w:val="Compact"/>
      </w:pPr>
      <w:r>
        <w:rPr>
          <w:bCs/>
          <w:b/>
        </w:rPr>
        <w:t xml:space="preserve">Downstream (Last-Mile Delivery):</w:t>
      </w:r>
      <w:r>
        <w:t xml:space="preserve"> </w:t>
      </w:r>
      <w:r>
        <w:t xml:space="preserve">Transport from the factory gate to the end-user. (Note: While "factory_gate" is the primary boundary, downstream transport is included as a key Scope 3 category and for a complete lifecycle view).</w:t>
      </w:r>
    </w:p>
    <w:p>
      <w:pPr>
        <w:numPr>
          <w:ilvl w:val="0"/>
          <w:numId w:val="1003"/>
        </w:numPr>
        <w:pStyle w:val="Compact"/>
      </w:pPr>
      <w:r>
        <w:rPr>
          <w:bCs/>
          <w:b/>
        </w:rPr>
        <w:t xml:space="preserve">Use Phase:</w:t>
      </w:r>
      <w:r>
        <w:t xml:space="preserve"> </w:t>
      </w:r>
      <w:r>
        <w:t xml:space="preserve">Energy consumption and potential emissions during the product\'s operational lifespan.</w:t>
      </w:r>
    </w:p>
    <w:p>
      <w:pPr>
        <w:numPr>
          <w:ilvl w:val="0"/>
          <w:numId w:val="1003"/>
        </w:numPr>
        <w:pStyle w:val="Compact"/>
      </w:pPr>
      <w:r>
        <w:rPr>
          <w:bCs/>
          <w:b/>
        </w:rPr>
        <w:t xml:space="preserve">End-of-Life (EoL):</w:t>
      </w:r>
      <w:r>
        <w:t xml:space="preserve"> </w:t>
      </w:r>
      <w:r>
        <w:t xml:space="preserve">Disposal, recycling, or recovery processes at the end of the product\'s life.</w:t>
      </w:r>
    </w:p>
    <w:bookmarkEnd w:id="23"/>
    <w:bookmarkStart w:id="24" w:name="Xb57f50a89bf1f3f1837369be949d9d60d6c1272"/>
    <w:p>
      <w:pPr>
        <w:pStyle w:val="Heading3"/>
      </w:pPr>
      <w:r>
        <w:t xml:space="preserve">2.3. Collect Data (Primary/Secondary Data Points)</w:t>
      </w:r>
    </w:p>
    <w:p>
      <w:pPr>
        <w:pStyle w:val="FirstParagraph"/>
      </w:pPr>
      <w:r>
        <w:t xml:space="preserve">Data was collected from provided primary sources and supplemented with industry-standard secondary data for emission factors where necessary:</w:t>
      </w:r>
    </w:p>
    <w:p>
      <w:pPr>
        <w:numPr>
          <w:ilvl w:val="0"/>
          <w:numId w:val="1005"/>
        </w:numPr>
        <w:pStyle w:val="Compact"/>
      </w:pPr>
      <w:r>
        <w:rPr>
          <w:bCs/>
          <w:b/>
        </w:rPr>
        <w:t xml:space="preserve">Primary Data (Assumed for Calculation):</w:t>
      </w:r>
    </w:p>
    <w:p>
      <w:pPr>
        <w:numPr>
          <w:ilvl w:val="1"/>
          <w:numId w:val="1006"/>
        </w:numPr>
        <w:pStyle w:val="Compact"/>
      </w:pPr>
      <w:r>
        <w:t xml:space="preserve">Detailed Bill of Materials (BOM): Example data structured as "ID, Description, Category, Process, Qty, Unit, Emission Factor (kgCO2e/Unit), Total Carbon (kgCO2e)" was used, adhering to the format `orgmsxfq`.</w:t>
      </w:r>
    </w:p>
    <w:p>
      <w:pPr>
        <w:numPr>
          <w:ilvl w:val="1"/>
          <w:numId w:val="1006"/>
        </w:numPr>
        <w:pStyle w:val="Compact"/>
      </w:pPr>
      <w:r>
        <w:t xml:space="preserve">Transport Mode (Inbound): Road freight (HGV &gt; 32 tonnes) [Assumed from `Select Mode`].</w:t>
      </w:r>
    </w:p>
    <w:p>
      <w:pPr>
        <w:numPr>
          <w:ilvl w:val="1"/>
          <w:numId w:val="1006"/>
        </w:numPr>
        <w:pStyle w:val="Compact"/>
      </w:pPr>
      <w:r>
        <w:t xml:space="preserve">Transport Distance (Inbound): 2000 km [Assumed from `rlyhzpxnjf`].</w:t>
      </w:r>
    </w:p>
    <w:p>
      <w:pPr>
        <w:numPr>
          <w:ilvl w:val="1"/>
          <w:numId w:val="1006"/>
        </w:numPr>
        <w:pStyle w:val="Compact"/>
      </w:pPr>
      <w:r>
        <w:t xml:space="preserve">Last-Mile Delivery Channel: Road freight (Light Commercial Vehicle/Van) [Assumed from `Delivery Type`].</w:t>
      </w:r>
    </w:p>
    <w:p>
      <w:pPr>
        <w:numPr>
          <w:ilvl w:val="1"/>
          <w:numId w:val="1006"/>
        </w:numPr>
        <w:pStyle w:val="Compact"/>
      </w:pPr>
      <w:r>
        <w:t xml:space="preserve">Renewable Energy Usage (Production): 50% [Assumed from `oqizftzkqr`].</w:t>
      </w:r>
    </w:p>
    <w:p>
      <w:pPr>
        <w:numPr>
          <w:ilvl w:val="1"/>
          <w:numId w:val="1006"/>
        </w:numPr>
        <w:pStyle w:val="Compact"/>
      </w:pPr>
      <w:r>
        <w:t xml:space="preserve">Energy Intensity (kWh/unit, Production): 100 kWh/unit [Assumed from `guwgelfksm`].</w:t>
      </w:r>
    </w:p>
    <w:p>
      <w:pPr>
        <w:numPr>
          <w:ilvl w:val="1"/>
          <w:numId w:val="1006"/>
        </w:numPr>
        <w:pStyle w:val="Compact"/>
      </w:pPr>
      <w:r>
        <w:t xml:space="preserve">Product Lifespan: 5 years [Assumed from `uxenqyjipz`].</w:t>
      </w:r>
    </w:p>
    <w:p>
      <w:pPr>
        <w:numPr>
          <w:ilvl w:val="1"/>
          <w:numId w:val="1006"/>
        </w:numPr>
        <w:pStyle w:val="Compact"/>
      </w:pPr>
      <w:r>
        <w:t xml:space="preserve">Energy Consumption in Use: 20 kWh/year [Assumed from `ontolwxdsu`].</w:t>
      </w:r>
    </w:p>
    <w:p>
      <w:pPr>
        <w:numPr>
          <w:ilvl w:val="1"/>
          <w:numId w:val="1006"/>
        </w:numPr>
        <w:pStyle w:val="Compact"/>
      </w:pPr>
      <w:r>
        <w:t xml:space="preserve">Recyclability Percentage: 70% [Assumed from `nuxropoeiy`].</w:t>
      </w:r>
    </w:p>
    <w:p>
      <w:pPr>
        <w:numPr>
          <w:ilvl w:val="1"/>
          <w:numId w:val="1006"/>
        </w:numPr>
        <w:pStyle w:val="Compact"/>
      </w:pPr>
      <w:r>
        <w:t xml:space="preserve">Circular/Take-back Programs: Implemented, resulting in a 5% reduction in End-of-Life impacts for recyclable materials [Assumed from `mpvlwjjrnm`].</w:t>
      </w:r>
    </w:p>
    <w:p>
      <w:pPr>
        <w:numPr>
          <w:ilvl w:val="0"/>
          <w:numId w:val="1005"/>
        </w:numPr>
        <w:pStyle w:val="Compact"/>
      </w:pPr>
      <w:r>
        <w:rPr>
          <w:bCs/>
          <w:b/>
        </w:rPr>
        <w:t xml:space="preserve">Secondary Data:</w:t>
      </w:r>
      <w:r>
        <w:t xml:space="preserve"> </w:t>
      </w:r>
      <w:r>
        <w:t xml:space="preserve">Industry-standard emission factors were sourced from reputable databases (e.g., Ecoinvent, DEFRA, Climate Transparency) for electricity grids and transportation where primary data was not available or was a placeholder.</w:t>
      </w:r>
    </w:p>
    <w:bookmarkEnd w:id="24"/>
    <w:bookmarkStart w:id="25" w:name="Xb404f6bea4a0013006ec7a9103609d9ea6643c1"/>
    <w:p>
      <w:pPr>
        <w:pStyle w:val="Heading3"/>
      </w:pPr>
      <w:r>
        <w:t xml:space="preserve">2.4. Calculate Emissions (Activity * Emission Factor = CO2e)</w:t>
      </w:r>
    </w:p>
    <w:p>
      <w:pPr>
        <w:pStyle w:val="FirstParagraph"/>
      </w:pPr>
      <w:r>
        <w:t xml:space="preserve">Emissions are calculated by multiplying activity data (e.g., kg of material, kWh of electricity, tkm of transport) by appropriate emission factors. Emissions are categorized into Scope 1 (direct), Scope 2 (purchased energy), and Scope 3 (value chain) in accordance with the GHG Protocol.</w:t>
      </w:r>
    </w:p>
    <w:bookmarkEnd w:id="25"/>
    <w:bookmarkStart w:id="26" w:name="review-report"/>
    <w:p>
      <w:pPr>
        <w:pStyle w:val="Heading3"/>
      </w:pPr>
      <w:r>
        <w:t xml:space="preserve">2.5. Review &amp; Report</w:t>
      </w:r>
    </w:p>
    <w:p>
      <w:pPr>
        <w:pStyle w:val="FirstParagraph"/>
      </w:pPr>
      <w:r>
        <w:t xml:space="preserve">The analysis identifies emission hotspots and assesses data reliability. This report summarizes the findings and provides recommendations.</w:t>
      </w:r>
    </w:p>
    <w:p>
      <w:r>
        <w:pict>
          <v:rect style="width:0;height:1.5pt" o:hralign="center" o:hrstd="t" o:hr="t"/>
        </w:pict>
      </w:r>
    </w:p>
    <w:bookmarkEnd w:id="26"/>
    <w:bookmarkEnd w:id="27"/>
    <w:bookmarkStart w:id="33" w:name="detailed-data-collection-inventory"/>
    <w:p>
      <w:pPr>
        <w:pStyle w:val="Heading2"/>
      </w:pPr>
      <w:r>
        <w:t xml:space="preserve">3. Detailed Data Collection &amp; Inventory</w:t>
      </w:r>
    </w:p>
    <w:bookmarkStart w:id="28" w:name="bill-of-materials-bom-analysis"/>
    <w:p>
      <w:pPr>
        <w:pStyle w:val="Heading3"/>
      </w:pPr>
      <w:r>
        <w:t xml:space="preserve">3.1. Bill of Materials (BOM) Analysis</w:t>
      </w:r>
    </w:p>
    <w:p>
      <w:pPr>
        <w:pStyle w:val="FirstParagraph"/>
      </w:pPr>
      <w:r>
        <w:t xml:space="preserve">The detailed Bill of Materials (BOM) for qiyssizpsd is provided below, along with the specific emission factors used for each component. The \'Calculated Carbon\' has been derived from \'Qty * Emission Factor\' to ensure accuracy, using the format specified in `orgmsxfq`.</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Calculated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gridSpan w:val="7"/>
          </w:tcPr>
          <w:p>
            <w:pPr>
              <w:pStyle w:val="Compact"/>
              <w:jc w:val="right"/>
            </w:pPr>
            <w:r>
              <w:t xml:space="preserve">Total Material Emissions:</w:t>
            </w:r>
          </w:p>
        </w:tc>
        <w:tc>
          <w:tcPr/>
          <w:p>
            <w:pPr>
              <w:pStyle w:val="Compact"/>
              <w:jc w:val="left"/>
            </w:pPr>
            <w:r>
              <w:t xml:space="preserve">3.49 kgCO2e</w:t>
            </w:r>
          </w:p>
        </w:tc>
      </w:tr>
    </w:tbl>
    <w:bookmarkEnd w:id="28"/>
    <w:bookmarkStart w:id="29" w:name="energy-inputs-production-phase"/>
    <w:p>
      <w:pPr>
        <w:pStyle w:val="Heading3"/>
      </w:pPr>
      <w:r>
        <w:t xml:space="preserve">3.2. Energy Inputs (Production Phase)</w:t>
      </w:r>
    </w:p>
    <w:p>
      <w:pPr>
        <w:numPr>
          <w:ilvl w:val="0"/>
          <w:numId w:val="1007"/>
        </w:numPr>
        <w:pStyle w:val="Compact"/>
      </w:pPr>
      <w:r>
        <w:rPr>
          <w:bCs/>
          <w:b/>
        </w:rPr>
        <w:t xml:space="preserve">Production Country:</w:t>
      </w:r>
      <w:r>
        <w:t xml:space="preserve"> </w:t>
      </w:r>
      <w:r>
        <w:t xml:space="preserve">China</w:t>
      </w:r>
    </w:p>
    <w:p>
      <w:pPr>
        <w:numPr>
          <w:ilvl w:val="0"/>
          <w:numId w:val="1007"/>
        </w:numPr>
        <w:pStyle w:val="Compact"/>
      </w:pPr>
      <w:r>
        <w:rPr>
          <w:bCs/>
          <w:b/>
        </w:rPr>
        <w:t xml:space="preserve">Energy Intensity:</w:t>
      </w:r>
      <w:r>
        <w:t xml:space="preserve"> </w:t>
      </w:r>
      <w:r>
        <w:t xml:space="preserve">100 kWh/unit [Assumed from `guwgelfksm`].</w:t>
      </w:r>
    </w:p>
    <w:p>
      <w:pPr>
        <w:numPr>
          <w:ilvl w:val="0"/>
          <w:numId w:val="1007"/>
        </w:numPr>
        <w:pStyle w:val="Compact"/>
      </w:pPr>
      <w:r>
        <w:rPr>
          <w:bCs/>
          <w:b/>
        </w:rPr>
        <w:t xml:space="preserve">Renewable Energy Usage:</w:t>
      </w:r>
      <w:r>
        <w:t xml:space="preserve"> </w:t>
      </w:r>
      <w:r>
        <w:t xml:space="preserve">50% [Assumed from `oqizftzkqr`].</w:t>
      </w:r>
    </w:p>
    <w:p>
      <w:pPr>
        <w:numPr>
          <w:ilvl w:val="0"/>
          <w:numId w:val="1007"/>
        </w:numPr>
        <w:pStyle w:val="Compact"/>
      </w:pPr>
      <w:r>
        <w:rPr>
          <w:bCs/>
          <w:b/>
        </w:rPr>
        <w:t xml:space="preserve">China Electricity Grid Emission Factor (2023):</w:t>
      </w:r>
      <w:r>
        <w:t xml:space="preserve"> </w:t>
      </w:r>
      <w:r>
        <w:t xml:space="preserve">0.6205 kg CO2e/kWh.</w:t>
      </w:r>
    </w:p>
    <w:p>
      <w:pPr>
        <w:pStyle w:val="FirstParagraph"/>
      </w:pPr>
      <w:r>
        <w:rPr>
          <w:bCs/>
          <w:b/>
        </w:rPr>
        <w:t xml:space="preserve">Calculation:</w:t>
      </w:r>
    </w:p>
    <w:p>
      <w:pPr>
        <w:pStyle w:val="BodyText"/>
      </w:pPr>
      <w:r>
        <w:t xml:space="preserve">Total Electricity Consumption = 100 kWh/unit</w:t>
      </w:r>
    </w:p>
    <w:p>
      <w:pPr>
        <w:pStyle w:val="BodyText"/>
      </w:pPr>
      <w:r>
        <w:t xml:space="preserve">Non-renewable Electricity = 100 kWh/unit * (1 - 0.50) = 50 kWh/unit</w:t>
      </w:r>
    </w:p>
    <w:p>
      <w:pPr>
        <w:pStyle w:val="BodyText"/>
      </w:pPr>
      <w:r>
        <w:t xml:space="preserve">Emissions from Production Energy = 50 kWh/unit * 0.6205 kg CO2e/kWh = 31.025 kg CO2e/unit</w:t>
      </w:r>
    </w:p>
    <w:bookmarkEnd w:id="29"/>
    <w:bookmarkStart w:id="30" w:name="logistics-data-transportation"/>
    <w:p>
      <w:pPr>
        <w:pStyle w:val="Heading3"/>
      </w:pPr>
      <w:r>
        <w:t xml:space="preserve">3.3. Logistics Data (Transportation)</w:t>
      </w:r>
    </w:p>
    <w:p>
      <w:pPr>
        <w:pStyle w:val="FirstParagraph"/>
      </w:pPr>
      <w:r>
        <w:t xml:space="preserve">For inbound logistics and last-mile delivery, the following assumed parameters and emission factors are used:</w:t>
      </w:r>
    </w:p>
    <w:p>
      <w:pPr>
        <w:numPr>
          <w:ilvl w:val="0"/>
          <w:numId w:val="1008"/>
        </w:numPr>
        <w:pStyle w:val="Compact"/>
      </w:pPr>
      <w:r>
        <w:rPr>
          <w:bCs/>
          <w:b/>
        </w:rPr>
        <w:t xml:space="preserve">Product Weight for Transport:</w:t>
      </w:r>
      <w:r>
        <w:t xml:space="preserve"> </w:t>
      </w:r>
      <w:r>
        <w:t xml:space="preserve">Sum of BOM material quantities (1.15 kg) plus estimated packaging weight, resulting in a finished product transport weight of 1.5 kg (0.0015 tonnes) for consistency in downstream transport.</w:t>
      </w:r>
    </w:p>
    <w:p>
      <w:pPr>
        <w:numPr>
          <w:ilvl w:val="0"/>
          <w:numId w:val="1008"/>
        </w:numPr>
        <w:pStyle w:val="Compact"/>
      </w:pPr>
      <w:r>
        <w:rPr>
          <w:bCs/>
          <w:b/>
        </w:rPr>
        <w:t xml:space="preserve">Upstream Transport (Inbound Logistics - Europe Focused to China):</w:t>
      </w:r>
    </w:p>
    <w:p>
      <w:pPr>
        <w:numPr>
          <w:ilvl w:val="1"/>
          <w:numId w:val="1009"/>
        </w:numPr>
        <w:pStyle w:val="Compact"/>
      </w:pPr>
      <w:r>
        <w:rPr>
          <w:bCs/>
          <w:b/>
        </w:rPr>
        <w:t xml:space="preserve">Mode:</w:t>
      </w:r>
      <w:r>
        <w:t xml:space="preserve"> </w:t>
      </w:r>
      <w:r>
        <w:t xml:space="preserve">Road freight (HGV &gt; 32 tonnes) [Assumed from `Select Mode`].</w:t>
      </w:r>
    </w:p>
    <w:p>
      <w:pPr>
        <w:numPr>
          <w:ilvl w:val="1"/>
          <w:numId w:val="1009"/>
        </w:numPr>
        <w:pStyle w:val="Compact"/>
      </w:pPr>
      <w:r>
        <w:rPr>
          <w:bCs/>
          <w:b/>
        </w:rPr>
        <w:t xml:space="preserve">Distance:</w:t>
      </w:r>
      <w:r>
        <w:t xml:space="preserve"> </w:t>
      </w:r>
      <w:r>
        <w:t xml:space="preserve">2000 km [Assumed from `rlyhzpxnjf`].</w:t>
      </w:r>
    </w:p>
    <w:p>
      <w:pPr>
        <w:numPr>
          <w:ilvl w:val="1"/>
          <w:numId w:val="1009"/>
        </w:numPr>
        <w:pStyle w:val="Compact"/>
      </w:pPr>
      <w:r>
        <w:rPr>
          <w:bCs/>
          <w:b/>
        </w:rPr>
        <w:t xml:space="preserve">Emission Factor:</w:t>
      </w:r>
      <w:r>
        <w:t xml:space="preserve"> </w:t>
      </w:r>
      <w:r>
        <w:t xml:space="preserve">0.0527 kg CO2e/tonne-km (Europe average for HGV &gt; 32t, 2019-2020).</w:t>
      </w:r>
    </w:p>
    <w:p>
      <w:pPr>
        <w:numPr>
          <w:ilvl w:val="0"/>
          <w:numId w:val="1008"/>
        </w:numPr>
        <w:pStyle w:val="Compact"/>
      </w:pPr>
      <w:r>
        <w:rPr>
          <w:bCs/>
          <w:b/>
        </w:rPr>
        <w:t xml:space="preserve">Downstream Transport (Last-Mile Delivery - from China factory gate to assumed European customer):</w:t>
      </w:r>
    </w:p>
    <w:p>
      <w:pPr>
        <w:numPr>
          <w:ilvl w:val="1"/>
          <w:numId w:val="1010"/>
        </w:numPr>
        <w:pStyle w:val="Compact"/>
      </w:pPr>
      <w:r>
        <w:rPr>
          <w:bCs/>
          <w:b/>
        </w:rPr>
        <w:t xml:space="preserve">Channel:</w:t>
      </w:r>
      <w:r>
        <w:t xml:space="preserve"> </w:t>
      </w:r>
      <w:r>
        <w:t xml:space="preserve">Road freight (Light Commercial Vehicle/Van) [Assumed from `Delivery Type`].</w:t>
      </w:r>
    </w:p>
    <w:p>
      <w:pPr>
        <w:numPr>
          <w:ilvl w:val="1"/>
          <w:numId w:val="1010"/>
        </w:numPr>
        <w:pStyle w:val="Compact"/>
      </w:pPr>
      <w:r>
        <w:rPr>
          <w:bCs/>
          <w:b/>
        </w:rPr>
        <w:t xml:space="preserve">Distance:</w:t>
      </w:r>
      <w:r>
        <w:t xml:space="preserve"> </w:t>
      </w:r>
      <w:r>
        <w:t xml:space="preserve">Assuming an average last-mile distance of 200 km in Europe.</w:t>
      </w:r>
    </w:p>
    <w:p>
      <w:pPr>
        <w:numPr>
          <w:ilvl w:val="1"/>
          <w:numId w:val="1010"/>
        </w:numPr>
        <w:pStyle w:val="Compact"/>
      </w:pPr>
      <w:r>
        <w:rPr>
          <w:bCs/>
          <w:b/>
        </w:rPr>
        <w:t xml:space="preserve">Emission Factor:</w:t>
      </w:r>
      <w:r>
        <w:t xml:space="preserve"> </w:t>
      </w:r>
      <w:r>
        <w:t xml:space="preserve">0.253 kg CO2e/tonne-km (Proxy for Lorry &lt; 7.5t GVW, average goods in Europe).</w:t>
      </w:r>
    </w:p>
    <w:p>
      <w:pPr>
        <w:pStyle w:val="FirstParagraph"/>
      </w:pPr>
      <w:r>
        <w:rPr>
          <w:bCs/>
          <w:b/>
        </w:rPr>
        <w:t xml:space="preserve">Calculations:</w:t>
      </w:r>
    </w:p>
    <w:p>
      <w:pPr>
        <w:pStyle w:val="BodyText"/>
      </w:pPr>
      <w:r>
        <w:rPr>
          <w:bCs/>
          <w:b/>
        </w:rPr>
        <w:t xml:space="preserve">Upstream Transportation Emissions:</w:t>
      </w:r>
    </w:p>
    <w:p>
      <w:pPr>
        <w:pStyle w:val="BodyText"/>
      </w:pPr>
      <w:r>
        <w:t xml:space="preserve">Transport Weight of Raw Materials = 1.15 kg = 0.00115 tonnes</w:t>
      </w:r>
    </w:p>
    <w:p>
      <w:pPr>
        <w:pStyle w:val="BodyText"/>
      </w:pPr>
      <w:r>
        <w:t xml:space="preserve">Emissions = 0.00115 tonnes * 2000 km * 0.0527 kg CO2e/tonne-km = 0.121 kg CO2e/unit</w:t>
      </w:r>
    </w:p>
    <w:p>
      <w:pPr>
        <w:pStyle w:val="BodyText"/>
      </w:pPr>
      <w:r>
        <w:rPr>
          <w:bCs/>
          <w:b/>
        </w:rPr>
        <w:t xml:space="preserve">Downstream Transportation Emissions (Last-Mile):</w:t>
      </w:r>
    </w:p>
    <w:p>
      <w:pPr>
        <w:pStyle w:val="BodyText"/>
      </w:pPr>
      <w:r>
        <w:t xml:space="preserve">Transport Weight of Finished Product = 1.5 kg = 0.0015 tonnes</w:t>
      </w:r>
    </w:p>
    <w:p>
      <w:pPr>
        <w:pStyle w:val="BodyText"/>
      </w:pPr>
      <w:r>
        <w:t xml:space="preserve">Emissions = 0.0015 tonnes * 200 km * 0.253 kg CO2e/tonne-km = 0.076 kg CO2e/unit</w:t>
      </w:r>
    </w:p>
    <w:bookmarkEnd w:id="30"/>
    <w:bookmarkStart w:id="31" w:name="use-phase-data"/>
    <w:p>
      <w:pPr>
        <w:pStyle w:val="Heading3"/>
      </w:pPr>
      <w:r>
        <w:t xml:space="preserve">3.4. Use Phase Data</w:t>
      </w:r>
    </w:p>
    <w:p>
      <w:pPr>
        <w:pStyle w:val="FirstParagraph"/>
      </w:pPr>
      <w:r>
        <w:t xml:space="preserve">For the use phase, we assume the product is used in Europe, reflecting the \'Supply Chain Focus: Europe Focused\' parameter.</w:t>
      </w:r>
    </w:p>
    <w:p>
      <w:pPr>
        <w:numPr>
          <w:ilvl w:val="0"/>
          <w:numId w:val="1011"/>
        </w:numPr>
        <w:pStyle w:val="Compact"/>
      </w:pPr>
      <w:r>
        <w:rPr>
          <w:bCs/>
          <w:b/>
        </w:rPr>
        <w:t xml:space="preserve">Product Lifespan:</w:t>
      </w:r>
      <w:r>
        <w:t xml:space="preserve"> </w:t>
      </w:r>
      <w:r>
        <w:t xml:space="preserve">5 years [Assumed from `uxenqyjipz`].</w:t>
      </w:r>
    </w:p>
    <w:p>
      <w:pPr>
        <w:numPr>
          <w:ilvl w:val="0"/>
          <w:numId w:val="1011"/>
        </w:numPr>
        <w:pStyle w:val="Compact"/>
      </w:pPr>
      <w:r>
        <w:rPr>
          <w:bCs/>
          <w:b/>
        </w:rPr>
        <w:t xml:space="preserve">Energy Consumption in Use:</w:t>
      </w:r>
      <w:r>
        <w:t xml:space="preserve"> </w:t>
      </w:r>
      <w:r>
        <w:t xml:space="preserve">20 kWh/year [Assumed from `ontolwxdsu`].</w:t>
      </w:r>
    </w:p>
    <w:p>
      <w:pPr>
        <w:numPr>
          <w:ilvl w:val="0"/>
          <w:numId w:val="1011"/>
        </w:numPr>
        <w:pStyle w:val="Compact"/>
      </w:pPr>
      <w:r>
        <w:rPr>
          <w:bCs/>
          <w:b/>
        </w:rPr>
        <w:t xml:space="preserve">Electricity Grid Emission Factor for Use Phase (Europe):</w:t>
      </w:r>
      <w:r>
        <w:t xml:space="preserve"> </w:t>
      </w:r>
      <w:r>
        <w:t xml:space="preserve">Assuming a plausible European average of 0.25 kg CO2e/kWh for the general grid mix.</w:t>
      </w:r>
    </w:p>
    <w:p>
      <w:pPr>
        <w:pStyle w:val="FirstParagraph"/>
      </w:pPr>
      <w:r>
        <w:rPr>
          <w:bCs/>
          <w:b/>
        </w:rPr>
        <w:t xml:space="preserve">Calculation:</w:t>
      </w:r>
    </w:p>
    <w:p>
      <w:pPr>
        <w:pStyle w:val="BodyText"/>
      </w:pPr>
      <w:r>
        <w:t xml:space="preserve">Total Energy Consumption in Use = 20 kWh/year * 5 years = 100 kWh/unit</w:t>
      </w:r>
    </w:p>
    <w:p>
      <w:pPr>
        <w:pStyle w:val="BodyText"/>
      </w:pPr>
      <w:r>
        <w:t xml:space="preserve">Emissions from Use Phase = 100 kWh/unit * 0.25 kg CO2e/kWh = 25.0 kg CO2e/unit</w:t>
      </w:r>
    </w:p>
    <w:bookmarkEnd w:id="31"/>
    <w:bookmarkStart w:id="32" w:name="end-of-life-eol-scenarios"/>
    <w:p>
      <w:pPr>
        <w:pStyle w:val="Heading3"/>
      </w:pPr>
      <w:r>
        <w:t xml:space="preserve">3.5. End-of-Life (EoL) Scenarios</w:t>
      </w:r>
    </w:p>
    <w:p>
      <w:pPr>
        <w:pStyle w:val="FirstParagraph"/>
      </w:pPr>
      <w:r>
        <w:t xml:space="preserve">For EoL impacts, specific factors per material are not provided. Therefore, a simplified model is applied, assuming a generic disposal emission factor and a recycling credit/benefit, adjusted for circular programs.</w:t>
      </w:r>
    </w:p>
    <w:p>
      <w:pPr>
        <w:numPr>
          <w:ilvl w:val="0"/>
          <w:numId w:val="1012"/>
        </w:numPr>
        <w:pStyle w:val="Compact"/>
      </w:pPr>
      <w:r>
        <w:rPr>
          <w:bCs/>
          <w:b/>
        </w:rPr>
        <w:t xml:space="preserve">Recyclability Percentage:</w:t>
      </w:r>
      <w:r>
        <w:t xml:space="preserve"> </w:t>
      </w:r>
      <w:r>
        <w:t xml:space="preserve">70% [Assumed from `nuxropoeiy`].</w:t>
      </w:r>
    </w:p>
    <w:p>
      <w:pPr>
        <w:numPr>
          <w:ilvl w:val="0"/>
          <w:numId w:val="1012"/>
        </w:numPr>
        <w:pStyle w:val="Compact"/>
      </w:pPr>
      <w:r>
        <w:rPr>
          <w:bCs/>
          <w:b/>
        </w:rPr>
        <w:t xml:space="preserve">Circular/Take-back Programs:</w:t>
      </w:r>
      <w:r>
        <w:t xml:space="preserve"> </w:t>
      </w:r>
      <w:r>
        <w:t xml:space="preserve">Implemented, resulting in a 5% reduction in End-of-Life impacts for recyclable materials [Assumed from `mpvlwjjrnm`].</w:t>
      </w:r>
    </w:p>
    <w:p>
      <w:pPr>
        <w:pStyle w:val="FirstParagraph"/>
      </w:pPr>
      <w:r>
        <w:rPr>
          <w:bCs/>
          <w:b/>
        </w:rPr>
        <w:t xml:space="preserve">Assumptions for EoL Emission Factors:</w:t>
      </w:r>
    </w:p>
    <w:p>
      <w:pPr>
        <w:numPr>
          <w:ilvl w:val="0"/>
          <w:numId w:val="1013"/>
        </w:numPr>
        <w:pStyle w:val="Compact"/>
      </w:pPr>
      <w:r>
        <w:t xml:space="preserve">EoL emission factor for disposal (landfill/incineration for non-recycled portion): 0.5 kg CO2e/kg.</w:t>
      </w:r>
    </w:p>
    <w:p>
      <w:pPr>
        <w:numPr>
          <w:ilvl w:val="0"/>
          <w:numId w:val="1013"/>
        </w:numPr>
        <w:pStyle w:val="Compact"/>
      </w:pPr>
      <w:r>
        <w:t xml:space="preserve">Net emission/credit for recycling processes (representing avoided virgin material production): -0.2 kg CO2e/kg. This assumes recycling is beneficial, leading to a net carbon credit or significantly reduced emissions compared to virgin production.</w:t>
      </w:r>
    </w:p>
    <w:p>
      <w:pPr>
        <w:pStyle w:val="FirstParagraph"/>
      </w:pPr>
      <w:r>
        <w:rPr>
          <w:bCs/>
          <w:b/>
        </w:rPr>
        <w:t xml:space="preserve">Calculations:</w:t>
      </w:r>
    </w:p>
    <w:p>
      <w:pPr>
        <w:pStyle w:val="BodyText"/>
      </w:pPr>
      <w:r>
        <w:t xml:space="preserve">Total Product Weight at EoL = 1.5 kg</w:t>
      </w:r>
    </w:p>
    <w:p>
      <w:pPr>
        <w:pStyle w:val="BodyText"/>
      </w:pPr>
      <w:r>
        <w:t xml:space="preserve">Portion disposed = 1.5 kg * (1 - 0.70) = 0.45 kg</w:t>
      </w:r>
    </w:p>
    <w:p>
      <w:pPr>
        <w:pStyle w:val="BodyText"/>
      </w:pPr>
      <w:r>
        <w:t xml:space="preserve">Portion recycled = 1.5 kg * 0.70 = 1.05 kg</w:t>
      </w:r>
    </w:p>
    <w:p>
      <w:pPr>
        <w:pStyle w:val="BodyText"/>
      </w:pPr>
      <w:r>
        <w:t xml:space="preserve">Emissions from Disposal = 0.45 kg * 0.5 kg CO2e/kg = 0.225 kg CO2e</w:t>
      </w:r>
    </w:p>
    <w:p>
      <w:pPr>
        <w:pStyle w:val="BodyText"/>
      </w:pPr>
      <w:r>
        <w:t xml:space="preserve">Emissions/Credit from Recycling = 1.05 kg * (-0.2 kg CO2e/kg) = -0.21 kg CO2e</w:t>
      </w:r>
    </w:p>
    <w:p>
      <w:pPr>
        <w:pStyle w:val="BodyText"/>
      </w:pPr>
      <w:r>
        <w:t xml:space="preserve">Subtotal Net EoL Emissions = 0.225 kg CO2e - 0.21 kg CO2e = 0.015 kg CO2e/unit</w:t>
      </w:r>
    </w:p>
    <w:p>
      <w:pPr>
        <w:pStyle w:val="BodyText"/>
      </w:pPr>
      <w:r>
        <w:t xml:space="preserve">Applying 5% reduction from Circular Programs (on the net impact):</w:t>
      </w:r>
    </w:p>
    <w:p>
      <w:pPr>
        <w:pStyle w:val="BodyText"/>
      </w:pPr>
      <w:r>
        <w:t xml:space="preserve">Net EoL Emissions = 0.015 kg CO2e/unit * (1 - 0.05) = 0.01425 kg CO2e/unit</w:t>
      </w:r>
    </w:p>
    <w:p>
      <w:r>
        <w:pict>
          <v:rect style="width:0;height:1.5pt" o:hralign="center" o:hrstd="t" o:hr="t"/>
        </w:pict>
      </w:r>
    </w:p>
    <w:bookmarkEnd w:id="32"/>
    <w:bookmarkEnd w:id="33"/>
    <w:bookmarkStart w:id="40" w:name="X4468b65c82fc7bf893fd55b87acd53d0cd54c86"/>
    <w:p>
      <w:pPr>
        <w:pStyle w:val="Heading2"/>
      </w:pPr>
      <w:r>
        <w:t xml:space="preserve">4. Emissions Calculation (GHG Protocol Scopes)</w:t>
      </w:r>
    </w:p>
    <w:p>
      <w:pPr>
        <w:pStyle w:val="FirstParagraph"/>
      </w:pPr>
      <w:r>
        <w:t xml:space="preserve">The total Product Carbon Footprint for qiyssizpsd is calculated by aggregating emissions across the defined lifecycle stages, categorized according to GHG Protocol Scopes.</w:t>
      </w:r>
    </w:p>
    <w:bookmarkStart w:id="34" w:name="scope-1-direct-emissions"/>
    <w:p>
      <w:pPr>
        <w:pStyle w:val="Heading3"/>
      </w:pPr>
      <w:r>
        <w:t xml:space="preserve">Scope 1: Direct Emissions</w:t>
      </w:r>
    </w:p>
    <w:p>
      <w:pPr>
        <w:pStyle w:val="FirstParagraph"/>
      </w:pPr>
      <w:r>
        <w:t xml:space="preserve">For a product-level analysis, Scope 1 emissions are typically minimal unless direct fuel combustion occurs during manufacturing processes at gpokifhmtp that are not captured under electricity use. Assuming gpokifhmtp\'s direct operations are limited to facility-level and do not have significant direct process emissions per unit of product beyond purchased electricity, Scope 1 emissions for the product are considered negligible in this analysis without further specific data.</w:t>
      </w:r>
    </w:p>
    <w:p>
      <w:pPr>
        <w:pStyle w:val="BodyText"/>
      </w:pPr>
      <w:r>
        <w:rPr>
          <w:bCs/>
          <w:b/>
        </w:rPr>
        <w:t xml:space="preserve">Total Scope 1 Emissions: 0.00 kg CO2e/unit</w:t>
      </w:r>
    </w:p>
    <w:bookmarkEnd w:id="34"/>
    <w:bookmarkStart w:id="35" w:name="scope-2-purchased-energy-emissions"/>
    <w:p>
      <w:pPr>
        <w:pStyle w:val="Heading3"/>
      </w:pPr>
      <w:r>
        <w:t xml:space="preserve">Scope 2: Purchased Energy Emissions</w:t>
      </w:r>
    </w:p>
    <w:p>
      <w:pPr>
        <w:pStyle w:val="FirstParagraph"/>
      </w:pPr>
      <w:r>
        <w:t xml:space="preserve">These are indirect emissions from the generation of purchased electricity consumed during the manufacturing of qiyssizpsd.</w:t>
      </w:r>
    </w:p>
    <w:p>
      <w:pPr>
        <w:numPr>
          <w:ilvl w:val="0"/>
          <w:numId w:val="1014"/>
        </w:numPr>
        <w:pStyle w:val="Compact"/>
      </w:pPr>
      <w:r>
        <w:t xml:space="preserve">Emissions from Production Energy = 31.025 kg CO2e/unit.</w:t>
      </w:r>
    </w:p>
    <w:p>
      <w:pPr>
        <w:pStyle w:val="FirstParagraph"/>
      </w:pPr>
      <w:r>
        <w:rPr>
          <w:bCs/>
          <w:b/>
        </w:rPr>
        <w:t xml:space="preserve">Total Scope 2 Emissions: 31.025 kg CO2e/unit</w:t>
      </w:r>
    </w:p>
    <w:bookmarkEnd w:id="35"/>
    <w:bookmarkStart w:id="36" w:name="scope-3-value-chain-emissions"/>
    <w:p>
      <w:pPr>
        <w:pStyle w:val="Heading3"/>
      </w:pPr>
      <w:r>
        <w:t xml:space="preserve">Scope 3: Value Chain Emissions</w:t>
      </w:r>
    </w:p>
    <w:p>
      <w:pPr>
        <w:pStyle w:val="FirstParagraph"/>
      </w:pPr>
      <w:r>
        <w:t xml:space="preserve">Scope 3 emissions cover all other indirect emissions in the product\'s value chain. This report aims for at least 95% coverage as per 2026 requirements.</w:t>
      </w:r>
    </w:p>
    <w:p>
      <w:pPr>
        <w:numPr>
          <w:ilvl w:val="0"/>
          <w:numId w:val="1015"/>
        </w:numPr>
        <w:pStyle w:val="Compact"/>
      </w:pPr>
      <w:r>
        <w:rPr>
          <w:bCs/>
          <w:b/>
        </w:rPr>
        <w:t xml:space="preserve">Category 1: Purchased Goods &amp; Services (Materials):</w:t>
      </w:r>
      <w:r>
        <w:t xml:space="preserve"> </w:t>
      </w:r>
      <w:r>
        <w:t xml:space="preserve">Emissions associated with the extraction, production, and pre-processing of raw materials and components for qiyssizpsd.</w:t>
      </w:r>
    </w:p>
    <w:p>
      <w:pPr>
        <w:numPr>
          <w:ilvl w:val="1"/>
          <w:numId w:val="1016"/>
        </w:numPr>
        <w:pStyle w:val="Compact"/>
      </w:pPr>
      <w:r>
        <w:t xml:space="preserve">Total Material Emissions = 3.49 kg CO2e/unit.</w:t>
      </w:r>
    </w:p>
    <w:p>
      <w:pPr>
        <w:numPr>
          <w:ilvl w:val="0"/>
          <w:numId w:val="1015"/>
        </w:numPr>
        <w:pStyle w:val="Compact"/>
      </w:pPr>
      <w:r>
        <w:rPr>
          <w:bCs/>
          <w:b/>
        </w:rPr>
        <w:t xml:space="preserve">Category 4: Upstream Transportation &amp; Distribution:</w:t>
      </w:r>
      <w:r>
        <w:t xml:space="preserve"> </w:t>
      </w:r>
      <w:r>
        <w:t xml:space="preserve">Emissions from the transport of purchased materials and components from suppliers (Europe Focused) to the manufacturing facility in China.</w:t>
      </w:r>
    </w:p>
    <w:p>
      <w:pPr>
        <w:numPr>
          <w:ilvl w:val="1"/>
          <w:numId w:val="1017"/>
        </w:numPr>
        <w:pStyle w:val="Compact"/>
      </w:pPr>
      <w:r>
        <w:t xml:space="preserve">Upstream Transportation Emissions = 0.121 kg CO2e/unit.</w:t>
      </w:r>
    </w:p>
    <w:p>
      <w:pPr>
        <w:numPr>
          <w:ilvl w:val="0"/>
          <w:numId w:val="1015"/>
        </w:numPr>
        <w:pStyle w:val="Compact"/>
      </w:pPr>
      <w:r>
        <w:rPr>
          <w:bCs/>
          <w:b/>
        </w:rPr>
        <w:t xml:space="preserve">Category 9: Downstream Transportation &amp; Distribution:</w:t>
      </w:r>
      <w:r>
        <w:t xml:space="preserve"> </w:t>
      </w:r>
      <w:r>
        <w:t xml:space="preserve">Emissions from the last-mile delivery of the finished product from the factory gate to the end-user (assuming a European customer).</w:t>
      </w:r>
    </w:p>
    <w:p>
      <w:pPr>
        <w:numPr>
          <w:ilvl w:val="1"/>
          <w:numId w:val="1018"/>
        </w:numPr>
        <w:pStyle w:val="Compact"/>
      </w:pPr>
      <w:r>
        <w:t xml:space="preserve">Downstream Transportation Emissions = 0.076 kg CO2e/unit.</w:t>
      </w:r>
    </w:p>
    <w:p>
      <w:pPr>
        <w:numPr>
          <w:ilvl w:val="0"/>
          <w:numId w:val="1015"/>
        </w:numPr>
        <w:pStyle w:val="Compact"/>
      </w:pPr>
      <w:r>
        <w:rPr>
          <w:bCs/>
          <w:b/>
        </w:rPr>
        <w:t xml:space="preserve">Category 11: Use of Sold Products:</w:t>
      </w:r>
      <w:r>
        <w:t xml:space="preserve"> </w:t>
      </w:r>
      <w:r>
        <w:t xml:space="preserve">Emissions arising from the energy consumption during the product\'s operational lifespan.</w:t>
      </w:r>
    </w:p>
    <w:p>
      <w:pPr>
        <w:numPr>
          <w:ilvl w:val="1"/>
          <w:numId w:val="1019"/>
        </w:numPr>
        <w:pStyle w:val="Compact"/>
      </w:pPr>
      <w:r>
        <w:t xml:space="preserve">Emissions from Use Phase = 25.0 kg CO2e/unit.</w:t>
      </w:r>
    </w:p>
    <w:p>
      <w:pPr>
        <w:numPr>
          <w:ilvl w:val="0"/>
          <w:numId w:val="1015"/>
        </w:numPr>
        <w:pStyle w:val="Compact"/>
      </w:pPr>
      <w:r>
        <w:rPr>
          <w:bCs/>
          <w:b/>
        </w:rPr>
        <w:t xml:space="preserve">Category 12: End-of-Life Treatment of Sold Products:</w:t>
      </w:r>
      <w:r>
        <w:t xml:space="preserve"> </w:t>
      </w:r>
      <w:r>
        <w:t xml:space="preserve">Emissions (or credits) associated with the disposal and recycling of the product at the end of its life.</w:t>
      </w:r>
    </w:p>
    <w:p>
      <w:pPr>
        <w:numPr>
          <w:ilvl w:val="1"/>
          <w:numId w:val="1020"/>
        </w:numPr>
        <w:pStyle w:val="Compact"/>
      </w:pPr>
      <w:r>
        <w:t xml:space="preserve">Net EoL Emissions = 0.01425 kg CO2e/unit.</w:t>
      </w:r>
    </w:p>
    <w:p>
      <w:pPr>
        <w:pStyle w:val="FirstParagraph"/>
      </w:pPr>
      <w:r>
        <w:rPr>
          <w:bCs/>
          <w:b/>
        </w:rPr>
        <w:t xml:space="preserve">Total Scope 3 Emissions:</w:t>
      </w:r>
      <w:r>
        <w:t xml:space="preserve"> </w:t>
      </w:r>
      <w:r>
        <w:t xml:space="preserve">3.49 + 0.121 + 0.076 + 25.0 + 0.01425 = 28.70125 kg CO2e/unit</w:t>
      </w:r>
    </w:p>
    <w:bookmarkEnd w:id="36"/>
    <w:bookmarkStart w:id="37" w:name="total-product-carbon-footprint-pcf"/>
    <w:p>
      <w:pPr>
        <w:pStyle w:val="Heading3"/>
      </w:pPr>
      <w:r>
        <w:t xml:space="preserve">Total Product Carbon Footprint (PCF)</w:t>
      </w:r>
    </w:p>
    <w:p>
      <w:pPr>
        <w:pStyle w:val="FirstParagraph"/>
      </w:pPr>
      <w:r>
        <w:rPr>
          <w:bCs/>
          <w:b/>
        </w:rPr>
        <w:t xml:space="preserve">Total PCF = Scope 1 + Scope 2 + Scope 3</w:t>
      </w:r>
    </w:p>
    <w:p>
      <w:pPr>
        <w:pStyle w:val="BodyText"/>
      </w:pPr>
      <w:r>
        <w:t xml:space="preserve">Total PCF = 0.00 + 31.025 + 28.70125 = 59.72625 kg CO2e/unit</w:t>
      </w:r>
    </w:p>
    <w:bookmarkEnd w:id="37"/>
    <w:bookmarkStart w:id="38" w:name="X7ef73fe3d39a8d84fae696b42f814aa0d860ec0"/>
    <w:p>
      <w:pPr>
        <w:pStyle w:val="Heading3"/>
      </w:pPr>
      <w:r>
        <w:t xml:space="preserve">2026 LSR Update (Land Sector and Removals Standard)</w:t>
      </w:r>
    </w:p>
    <w:p>
      <w:pPr>
        <w:pStyle w:val="FirstParagraph"/>
      </w:pPr>
      <w:r>
        <w:t xml:space="preserve">The GHG Protocol\'s 2026 LSR Standard provides guidance for accounting for GHG emissions and removals from land use, land-use change, and forestry (LULUCF). Based on the provided parameters, specific land-use change data directly attributable to the production of \'qiyssizpsd\' components or its manufacturing operations are not available. Therefore, this analysis acknowledges the importance of the LSR standard but does not include specific quantifiable LSR impacts due to data limitations. Future analyses should seek to integrate direct land-use data if applicable to raw material sourcing or manufacturing site development.</w:t>
      </w:r>
    </w:p>
    <w:bookmarkEnd w:id="38"/>
    <w:bookmarkStart w:id="39" w:name="scope-3-compliance-95-coverage"/>
    <w:p>
      <w:pPr>
        <w:pStyle w:val="Heading3"/>
      </w:pPr>
      <w:r>
        <w:t xml:space="preserve">Scope 3 Compliance (95% Coverage)</w:t>
      </w:r>
    </w:p>
    <w:p>
      <w:pPr>
        <w:pStyle w:val="FirstParagraph"/>
      </w:pPr>
      <w:r>
        <w:t xml:space="preserve">This analysis has endeavored to cover all major Scope 3 categories relevant to the product\'s lifecycle, including purchased materials, upstream and downstream transportation, the use phase, and end-of-life treatment. Based on the detailed breakdown, it is estimated that the coverage for Scope 3 emissions is robust, aiming to meet or exceed the 95% requirement for 2026 reporting.</w:t>
      </w:r>
    </w:p>
    <w:p>
      <w:r>
        <w:pict>
          <v:rect style="width:0;height:1.5pt" o:hralign="center" o:hrstd="t" o:hr="t"/>
        </w:pict>
      </w:r>
    </w:p>
    <w:bookmarkEnd w:id="39"/>
    <w:bookmarkEnd w:id="40"/>
    <w:bookmarkStart w:id="42" w:name="hotspot-analysis-recommendations"/>
    <w:p>
      <w:pPr>
        <w:pStyle w:val="Heading2"/>
      </w:pPr>
      <w:r>
        <w:t xml:space="preserve">5. Hotspot Analysis &amp; Recommendations</w:t>
      </w:r>
    </w:p>
    <w:p>
      <w:pPr>
        <w:pStyle w:val="FirstParagraph"/>
      </w:pPr>
      <w:r>
        <w:t xml:space="preserve">The PCF analysis reveals the following emission hotspots for qiyssizpsd:</w:t>
      </w:r>
    </w:p>
    <w:p>
      <w:pPr>
        <w:numPr>
          <w:ilvl w:val="0"/>
          <w:numId w:val="1021"/>
        </w:numPr>
        <w:pStyle w:val="Compact"/>
      </w:pPr>
      <w:r>
        <w:rPr>
          <w:bCs/>
          <w:b/>
        </w:rPr>
        <w:t xml:space="preserve">Production Energy (Scope 2):</w:t>
      </w:r>
      <w:r>
        <w:t xml:space="preserve"> </w:t>
      </w:r>
      <w:r>
        <w:t xml:space="preserve">At 31.025 kg CO2e/unit, the energy consumed during manufacturing is the largest contributor, even with 50% renewable energy usage. This highlights the carbon intensity of the electricity grid in China.</w:t>
      </w:r>
    </w:p>
    <w:p>
      <w:pPr>
        <w:numPr>
          <w:ilvl w:val="0"/>
          <w:numId w:val="1021"/>
        </w:numPr>
        <w:pStyle w:val="Compact"/>
      </w:pPr>
      <w:r>
        <w:rPr>
          <w:bCs/>
          <w:b/>
        </w:rPr>
        <w:t xml:space="preserve">Use Phase (Scope 3, Category 11):</w:t>
      </w:r>
      <w:r>
        <w:t xml:space="preserve"> </w:t>
      </w:r>
      <w:r>
        <w:t xml:space="preserve">The product\'s energy consumption during its 5-year lifespan contributes significantly with 25.0 kg CO2e/unit. This emphasizes the importance of product design for energy efficiency.</w:t>
      </w:r>
    </w:p>
    <w:p>
      <w:pPr>
        <w:numPr>
          <w:ilvl w:val="0"/>
          <w:numId w:val="1021"/>
        </w:numPr>
        <w:pStyle w:val="Compact"/>
      </w:pPr>
      <w:r>
        <w:rPr>
          <w:bCs/>
          <w:b/>
        </w:rPr>
        <w:t xml:space="preserve">Purchased Goods &amp; Services (Scope 3, Category 1):</w:t>
      </w:r>
      <w:r>
        <w:t xml:space="preserve"> </w:t>
      </w:r>
      <w:r>
        <w:t xml:space="preserve">Material production accounts for 3.49 kg CO2e/unit, indicating that material selection and design remain important areas for impact reduction.</w:t>
      </w:r>
    </w:p>
    <w:bookmarkStart w:id="41" w:name="recommendations"/>
    <w:p>
      <w:pPr>
        <w:pStyle w:val="Heading3"/>
      </w:pPr>
      <w:r>
        <w:t xml:space="preserve">Recommendations:</w:t>
      </w:r>
    </w:p>
    <w:p>
      <w:pPr>
        <w:numPr>
          <w:ilvl w:val="0"/>
          <w:numId w:val="1022"/>
        </w:numPr>
        <w:pStyle w:val="Compact"/>
      </w:pPr>
      <w:r>
        <w:rPr>
          <w:bCs/>
          <w:b/>
        </w:rPr>
        <w:t xml:space="preserve">Decarbonize Production Energy:</w:t>
      </w:r>
      <w:r>
        <w:t xml:space="preserve"> </w:t>
      </w:r>
      <w:r>
        <w:t xml:space="preserve">gpokifhmtp should explore further options for increasing renewable energy procurement at its China facilities beyond 50%. This could include power purchase agreements (PPAs) for additional off-site renewables or on-site solar installations.</w:t>
      </w:r>
    </w:p>
    <w:p>
      <w:pPr>
        <w:numPr>
          <w:ilvl w:val="0"/>
          <w:numId w:val="1022"/>
        </w:numPr>
        <w:pStyle w:val="Compact"/>
      </w:pPr>
      <w:r>
        <w:rPr>
          <w:bCs/>
          <w:b/>
        </w:rPr>
        <w:t xml:space="preserve">Optimize Product Energy Efficiency in Use:</w:t>
      </w:r>
      <w:r>
        <w:t xml:space="preserve"> </w:t>
      </w:r>
      <w:r>
        <w:t xml:space="preserve">Investigate opportunities to significantly reduce the product\'s energy consumption during its use phase. This could involve design improvements, more efficient components, or software optimizations. Educate consumers on energy-saving usage patterns.</w:t>
      </w:r>
    </w:p>
    <w:p>
      <w:pPr>
        <w:numPr>
          <w:ilvl w:val="0"/>
          <w:numId w:val="1022"/>
        </w:numPr>
        <w:pStyle w:val="Compact"/>
      </w:pPr>
      <w:r>
        <w:rPr>
          <w:bCs/>
          <w:b/>
        </w:rPr>
        <w:t xml:space="preserve">Sustainable Material Sourcing:</w:t>
      </w:r>
      <w:r>
        <w:t xml:space="preserve"> </w:t>
      </w:r>
      <w:r>
        <w:t xml:space="preserve">Continue to evaluate and source materials with lower embedded carbon. Prioritize recycled content where feasible, and work with suppliers to reduce their emissions for high-impact materials (e.g., Plastic Housing, Steel Casing).</w:t>
      </w:r>
    </w:p>
    <w:p>
      <w:pPr>
        <w:numPr>
          <w:ilvl w:val="0"/>
          <w:numId w:val="1022"/>
        </w:numPr>
        <w:pStyle w:val="Compact"/>
      </w:pPr>
      <w:r>
        <w:rPr>
          <w:bCs/>
          <w:b/>
        </w:rPr>
        <w:t xml:space="preserve">Extend Product Lifespan &amp; Enhance Circularity:</w:t>
      </w:r>
      <w:r>
        <w:t xml:space="preserve"> </w:t>
      </w:r>
      <w:r>
        <w:t xml:space="preserve">The existing 70% recyclability is a good foundation, and circular programs are in place. Further extend the product lifespan through durable design, repairability, and upgradability to reduce the frequency of new purchases. Strengthen take-back schemes and ensure high-quality recycling pathways.</w:t>
      </w:r>
    </w:p>
    <w:p>
      <w:pPr>
        <w:numPr>
          <w:ilvl w:val="0"/>
          <w:numId w:val="1022"/>
        </w:numPr>
        <w:pStyle w:val="Compact"/>
      </w:pPr>
      <w:r>
        <w:rPr>
          <w:bCs/>
          <w:b/>
        </w:rPr>
        <w:t xml:space="preserve">Supply Chain Engagement:</w:t>
      </w:r>
      <w:r>
        <w:t xml:space="preserve"> </w:t>
      </w:r>
      <w:r>
        <w:t xml:space="preserve">Engage proactively with upstream suppliers (particularly for materials and transport) to identify and implement emission reduction initiatives and encourage transparency.</w:t>
      </w:r>
    </w:p>
    <w:p>
      <w:r>
        <w:pict>
          <v:rect style="width:0;height:1.5pt" o:hralign="center" o:hrstd="t" o:hr="t"/>
        </w:pict>
      </w:r>
    </w:p>
    <w:bookmarkEnd w:id="41"/>
    <w:bookmarkEnd w:id="42"/>
    <w:bookmarkStart w:id="43" w:name="limitations-and-assumptions"/>
    <w:p>
      <w:pPr>
        <w:pStyle w:val="Heading2"/>
      </w:pPr>
      <w:r>
        <w:t xml:space="preserve">6. Limitations and Assumptions</w:t>
      </w:r>
    </w:p>
    <w:p>
      <w:pPr>
        <w:pStyle w:val="FirstParagraph"/>
      </w:pPr>
      <w:r>
        <w:t xml:space="preserve">This report is based on the best available data and current industry standards. Key limitations and assumptions include:</w:t>
      </w:r>
    </w:p>
    <w:p>
      <w:pPr>
        <w:numPr>
          <w:ilvl w:val="0"/>
          <w:numId w:val="1023"/>
        </w:numPr>
        <w:pStyle w:val="Compact"/>
      </w:pPr>
      <w:r>
        <w:rPr>
          <w:bCs/>
          <w:b/>
        </w:rPr>
        <w:t xml:space="preserve">Placeholder Data:</w:t>
      </w:r>
      <w:r>
        <w:t xml:space="preserve"> </w:t>
      </w:r>
      <w:r>
        <w:t xml:space="preserve">Several parameters (e.g., Transport Mode, Transport Distance, Delivery Type, Renewable Energy Usage, Energy Intensity, Product Lifespan, Energy Consumption in Use, Recyclability Percentage, Circular Programs) were provided as placeholders and required reasonable assumptions for numerical values. Actual impacts may vary significantly if these values differ.</w:t>
      </w:r>
    </w:p>
    <w:p>
      <w:pPr>
        <w:numPr>
          <w:ilvl w:val="0"/>
          <w:numId w:val="1023"/>
        </w:numPr>
        <w:pStyle w:val="Compact"/>
      </w:pPr>
      <w:r>
        <w:rPr>
          <w:bCs/>
          <w:b/>
        </w:rPr>
        <w:t xml:space="preserve">Secondary Emission Factors:</w:t>
      </w:r>
      <w:r>
        <w:t xml:space="preserve"> </w:t>
      </w:r>
      <w:r>
        <w:t xml:space="preserve">Reliance on generic, industry-average emission factors (e.g., electricity grid mixes, transport factors) introduces uncertainty, as specific supplier or operational data may vary.</w:t>
      </w:r>
    </w:p>
    <w:p>
      <w:pPr>
        <w:numPr>
          <w:ilvl w:val="0"/>
          <w:numId w:val="1023"/>
        </w:numPr>
        <w:pStyle w:val="Compact"/>
      </w:pPr>
      <w:r>
        <w:rPr>
          <w:bCs/>
          <w:b/>
        </w:rPr>
        <w:t xml:space="preserve">System Boundary Interpretation:</w:t>
      </w:r>
      <w:r>
        <w:t xml:space="preserve"> </w:t>
      </w:r>
      <w:r>
        <w:t xml:space="preserve">While the primary system boundary is "factory_gate", the analysis extended to include use-phase and End-of-Life impacts as per requirements, providing a broader lifecycle view. However, a strict cradle-to-gate PCF would exclude these downstream stages.</w:t>
      </w:r>
    </w:p>
    <w:p>
      <w:pPr>
        <w:numPr>
          <w:ilvl w:val="0"/>
          <w:numId w:val="1023"/>
        </w:numPr>
        <w:pStyle w:val="Compact"/>
      </w:pPr>
      <w:r>
        <w:rPr>
          <w:bCs/>
          <w:b/>
        </w:rPr>
        <w:t xml:space="preserve">LSR Standard:</w:t>
      </w:r>
      <w:r>
        <w:t xml:space="preserve"> </w:t>
      </w:r>
      <w:r>
        <w:t xml:space="preserve">Quantifiable impacts from the 2026 LSR Standard for land use and removals were not included due to a lack of specific, product-level land-use change data within the provided parameters.</w:t>
      </w:r>
    </w:p>
    <w:p>
      <w:pPr>
        <w:numPr>
          <w:ilvl w:val="0"/>
          <w:numId w:val="1023"/>
        </w:numPr>
        <w:pStyle w:val="Compact"/>
      </w:pPr>
      <w:r>
        <w:rPr>
          <w:bCs/>
          <w:b/>
        </w:rPr>
        <w:t xml:space="preserve">EoL Complexity:</w:t>
      </w:r>
      <w:r>
        <w:t xml:space="preserve"> </w:t>
      </w:r>
      <w:r>
        <w:t xml:space="preserve">The End-of-Life calculation involves simplified assumptions regarding disposal impacts and recycling credits due to the absence of highly specific EoL emission factors for each material.</w:t>
      </w:r>
    </w:p>
    <w:p>
      <w:r>
        <w:pict>
          <v:rect style="width:0;height:1.5pt" o:hralign="center" o:hrstd="t" o:hr="t"/>
        </w:pict>
      </w:r>
    </w:p>
    <w:bookmarkEnd w:id="43"/>
    <w:bookmarkStart w:id="44" w:name="conclusion"/>
    <w:p>
      <w:pPr>
        <w:pStyle w:val="Heading2"/>
      </w:pPr>
      <w:r>
        <w:t xml:space="preserve">7. Conclusion</w:t>
      </w:r>
    </w:p>
    <w:p>
      <w:pPr>
        <w:pStyle w:val="FirstParagraph"/>
      </w:pPr>
      <w:r>
        <w:t xml:space="preserve">The Product Carbon Footprint for qiyssizpsd by gpokifhmtp is calculated to be approximately 59.73 kg CO2e per unit. The primary drivers of this footprint are the energy consumed during the manufacturing phase in China (Scope 2) and the energy consumption during the product\'s use phase (Scope 3). Strategic focus on increasing renewable energy sourcing, enhancing product energy efficiency, and engaging in sustainable material choices and circular economy initiatives will be crucial for gpokifhmtp to reduce its product\'s environmental impact and demonstrate leadership in sustainability.</w:t>
      </w:r>
    </w:p>
    <w:p>
      <w:pPr>
        <w:pStyle w:val="BodyText"/>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qiyssizpsd</dc:title>
  <dc:creator/>
  <dc:description>Detailed Product Carbon Footprint (PCF) analysis report for qiyssizpsd, performed by qzjoyutgjx for gpokifhmtp, adhering to GHG Protocol standards and the 2026 LSR update.</dc:description>
  <cp:keywords/>
  <dcterms:created xsi:type="dcterms:W3CDTF">2026-07-15T18:10:32Z</dcterms:created>
  <dcterms:modified xsi:type="dcterms:W3CDTF">2026-07-15T18:10:32Z</dcterms:modified>
</cp:coreProperties>
</file>

<file path=docProps/custom.xml><?xml version="1.0" encoding="utf-8"?>
<Properties xmlns="http://schemas.openxmlformats.org/officeDocument/2006/custom-properties" xmlns:vt="http://schemas.openxmlformats.org/officeDocument/2006/docPropsVTypes"/>
</file>