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qixnheqnmw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qixnheqnmw</w:t>
      </w:r>
    </w:p>
    <w:p>
      <w:pPr>
        <w:pStyle w:val="BodyText"/>
      </w:pPr>
      <w:r>
        <w:rPr>
          <w:bCs/>
          <w:b/>
        </w:rPr>
        <w:t xml:space="preserve">Company:</w:t>
      </w:r>
      <w:r>
        <w:t xml:space="preserve"> </w:t>
      </w:r>
      <w:r>
        <w:t xml:space="preserve">kxrygmnnfp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vtjohzuhhe</w:t>
      </w:r>
    </w:p>
    <w:p>
      <w:pPr>
        <w:pStyle w:val="BodyText"/>
      </w:pPr>
      <w:r>
        <w:t xml:space="preserve">Disclaimer: This report is generated based on available data and industry standards,</w:t>
      </w:r>
      <w:r>
        <w:t xml:space="preserve"> </w:t>
      </w:r>
      <w:r>
        <w:t xml:space="preserve">providing a high-level assessment of the Product Carbon Footprint for qixnheqnmw.</w:t>
      </w:r>
      <w:r>
        <w:t xml:space="preserve"> </w:t>
      </w:r>
      <w:r>
        <w:t xml:space="preserve">Specific emission factors are illustrative and based on publicly available data,</w:t>
      </w:r>
      <w:r>
        <w:t xml:space="preserve"> </w:t>
      </w:r>
      <w:r>
        <w:t xml:space="preserve">unless primary data was explicitly provided.</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qixnheqnmw</w:t>
      </w:r>
      <w:r>
        <w:t xml:space="preserve">, manufactured by</w:t>
      </w:r>
      <w:r>
        <w:t xml:space="preserve"> </w:t>
      </w:r>
      <w:r>
        <w:rPr>
          <w:bCs/>
          <w:b/>
        </w:rPr>
        <w:t xml:space="preserve">kxrygmnnfp</w:t>
      </w:r>
      <w:r>
        <w:t xml:space="preserve">. The analysis was conducted by</w:t>
      </w:r>
      <w:r>
        <w:t xml:space="preserve"> </w:t>
      </w:r>
      <w:r>
        <w:rPr>
          <w:bCs/>
          <w:b/>
        </w:rPr>
        <w:t xml:space="preserve">vtjohzuhhe</w:t>
      </w:r>
      <w:r>
        <w:t xml:space="preserve">, Senior Sustainability Consultant, adhering strictly to the Greenhouse Gas (GHG) Protocol as the accounting standard. The primary goal is to quantify the total greenhouse gas emissions (in CO2e) associated with the product\'s lifecycle, identify emission hotspots, and provide insights for reduction strategies. The report incorporates the 2026 Land Sector and Removals (LSR) Standard where applicable and ensures a minimum of 95% coverage for Scope 3 emissions, aligning with updated requirements.</w:t>
      </w:r>
    </w:p>
    <w:p>
      <w:pPr>
        <w:pStyle w:val="BodyText"/>
      </w:pPr>
      <w:r>
        <w:t xml:space="preserve">The PCF for</w:t>
      </w:r>
      <w:r>
        <w:t xml:space="preserve"> </w:t>
      </w:r>
      <w:r>
        <w:rPr>
          <w:bCs/>
          <w:b/>
        </w:rPr>
        <w:t xml:space="preserve">qixnheqnmw</w:t>
      </w:r>
      <w:r>
        <w:t xml:space="preserve"> </w:t>
      </w:r>
      <w:r>
        <w:t xml:space="preserve">is calculated across its entire lifecycle, from raw material acquisition to end-of-life treatment, providing a comprehensive view of its environmental impact. Key findings highlight the significant contributions from material acquisition and the use phase, with notable opportunities for emission reductions through sustainable sourcing, energy efficiency, and circular economy initiatives.</w:t>
      </w:r>
    </w:p>
    <w:p>
      <w:r>
        <w:pict>
          <v:rect style="width:0;height:1.5pt" o:hralign="center" o:hrstd="t" o:hr="t"/>
        </w:pict>
      </w:r>
    </w:p>
    <w:bookmarkEnd w:id="22"/>
    <w:bookmarkStart w:id="31" w:name="methodology"/>
    <w:p>
      <w:pPr>
        <w:pStyle w:val="Heading2"/>
      </w:pPr>
      <w:r>
        <w:t xml:space="preserve">Methodology</w:t>
      </w:r>
    </w:p>
    <w:p>
      <w:pPr>
        <w:pStyle w:val="FirstParagraph"/>
      </w:pPr>
      <w:r>
        <w:t xml:space="preserve">The Product Carbon Footprint (PCF) analysis for</w:t>
      </w:r>
      <w:r>
        <w:t xml:space="preserve"> </w:t>
      </w:r>
      <w:r>
        <w:rPr>
          <w:bCs/>
          <w:b/>
        </w:rPr>
        <w:t xml:space="preserve">qixnheqnmw</w:t>
      </w:r>
      <w:r>
        <w:t xml:space="preserve"> </w:t>
      </w:r>
      <w:r>
        <w:t xml:space="preserve">follows a systematic five-step approach, compliant with the</w:t>
      </w:r>
      <w:r>
        <w:t xml:space="preserve"> </w:t>
      </w:r>
      <w:r>
        <w:rPr>
          <w:bCs/>
          <w:b/>
        </w:rPr>
        <w:t xml:space="preserve">GHG Protocol</w:t>
      </w:r>
      <w:r>
        <w:t xml:space="preserve"> </w:t>
      </w:r>
      <w:r>
        <w:t xml:space="preserve">Product Standard. This ensures a robust and transparent assessment of greenhouse gas emissions across the product\'s lifecycle.</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qixnheqnmw</w:t>
      </w:r>
      <w:r>
        <w:t xml:space="preserve">. This unit serves as the reference basis for all calculations and comparisons.</w:t>
      </w:r>
    </w:p>
    <w:p>
      <w:pPr>
        <w:numPr>
          <w:ilvl w:val="1"/>
          <w:numId w:val="1002"/>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encompassing raw material extraction, processing, manufacturing at kxrygmnnfp\'s facility, and transportation up to the factory gate. However, for a comprehensive PCF, this report extends beyond the factory gate to include downstream transportation, the product use phase, and end-of-life treatment.</w:t>
      </w:r>
    </w:p>
    <w:p>
      <w:pPr>
        <w:numPr>
          <w:ilvl w:val="1"/>
          <w:numId w:val="1002"/>
        </w:numPr>
        <w:pStyle w:val="Compact"/>
      </w:pPr>
      <w:r>
        <w:rPr>
          <w:bCs/>
          <w:b/>
        </w:rPr>
        <w:t xml:space="preserve">Geographic Scope:</w:t>
      </w:r>
    </w:p>
    <w:p>
      <w:pPr>
        <w:numPr>
          <w:ilvl w:val="2"/>
          <w:numId w:val="1003"/>
        </w:numPr>
        <w:pStyle w:val="Compact"/>
      </w:pPr>
      <w:r>
        <w:rPr>
          <w:bCs/>
          <w:b/>
        </w:rPr>
        <w:t xml:space="preserve">Final Production Country:</w:t>
      </w:r>
      <w:r>
        <w:t xml:space="preserve"> </w:t>
      </w:r>
      <w:r>
        <w:t xml:space="preserve">China</w:t>
      </w:r>
    </w:p>
    <w:p>
      <w:pPr>
        <w:numPr>
          <w:ilvl w:val="2"/>
          <w:numId w:val="1003"/>
        </w:numPr>
        <w:pStyle w:val="Compact"/>
      </w:pPr>
      <w:r>
        <w:rPr>
          <w:bCs/>
          <w:b/>
        </w:rPr>
        <w:t xml:space="preserve">Supply Chain Focus:</w:t>
      </w:r>
      <w:r>
        <w:t xml:space="preserve"> </w:t>
      </w:r>
      <w:r>
        <w:t xml:space="preserve">Europe Focused</w:t>
      </w:r>
    </w:p>
    <w:p>
      <w:pPr>
        <w:numPr>
          <w:ilvl w:val="1"/>
          <w:numId w:val="1002"/>
        </w:numPr>
        <w:pStyle w:val="Compact"/>
      </w:pPr>
      <w:r>
        <w:rPr>
          <w:bCs/>
          <w:b/>
        </w:rPr>
        <w:t xml:space="preserve">Allocation:</w:t>
      </w:r>
      <w:r>
        <w:t xml:space="preserve"> </w:t>
      </w:r>
      <w:r>
        <w:t xml:space="preserve">Emissions are allocated directly to the functional unit. Co-product allocation is not applicable for this single product analysis.</w:t>
      </w:r>
    </w:p>
    <w:p>
      <w:pPr>
        <w:numPr>
          <w:ilvl w:val="1"/>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Corporate Accounting and Reporting Standard and the Product Life Cycle Accounting and Reporting Standard. Emissions are categorized into Scope 1 (direct emissions), Scope 2 (indirect emissions from purchased energy), and Scope 3 (all other indirect emissions in the value chain).</w:t>
      </w:r>
    </w:p>
    <w:p>
      <w:pPr>
        <w:numPr>
          <w:ilvl w:val="1"/>
          <w:numId w:val="1002"/>
        </w:numPr>
        <w:pStyle w:val="Compact"/>
      </w:pPr>
      <w:r>
        <w:rPr>
          <w:bCs/>
          <w:b/>
        </w:rPr>
        <w:t xml:space="preserve">2026 LSR Update:</w:t>
      </w:r>
      <w:r>
        <w:t xml:space="preserve"> </w:t>
      </w:r>
      <w:r>
        <w:t xml:space="preserve">The Land Sector and Removals (LSR) Standard, effective January 1, 2027, has been considered. This standard provides guidance for quantifying land emissions and CO₂ removals. Given the nature of qixnheqnmw, direct land-use change emissions from kxrygmnnfp\'s operations are considered negligible or integrated into upstream material emissions (Scope 3, Category 1). However, the principles of accounting for removals are acknowledged for future reporting improvements.</w:t>
      </w:r>
    </w:p>
    <w:p>
      <w:pPr>
        <w:numPr>
          <w:ilvl w:val="1"/>
          <w:numId w:val="1002"/>
        </w:numPr>
        <w:pStyle w:val="Compact"/>
      </w:pPr>
      <w:r>
        <w:rPr>
          <w:bCs/>
          <w:b/>
        </w:rPr>
        <w:t xml:space="preserve">Scope 3 Compliance:</w:t>
      </w:r>
      <w:r>
        <w:t xml:space="preserve"> </w:t>
      </w:r>
      <w:r>
        <w:t xml:space="preserve">As per 2026 requirements, efforts have been made to ensure at least 95% coverage for Scope 3 reporting, including both upstream and downstream activities in the value chain.</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lifecycle of</w:t>
      </w:r>
      <w:r>
        <w:t xml:space="preserve"> </w:t>
      </w:r>
      <w:r>
        <w:rPr>
          <w:bCs/>
          <w:b/>
        </w:rPr>
        <w:t xml:space="preserve">qixnheqnmw</w:t>
      </w:r>
      <w:r>
        <w:t xml:space="preserve"> </w:t>
      </w:r>
      <w:r>
        <w:t xml:space="preserve">is mapped through the following stages:</w:t>
      </w:r>
    </w:p>
    <w:p>
      <w:pPr>
        <w:numPr>
          <w:ilvl w:val="1"/>
          <w:numId w:val="1004"/>
        </w:numPr>
        <w:pStyle w:val="Compact"/>
      </w:pPr>
      <w:r>
        <w:rPr>
          <w:bCs/>
          <w:b/>
        </w:rPr>
        <w:t xml:space="preserve">Raw Material Acquisition &amp; Pre-processing:</w:t>
      </w:r>
      <w:r>
        <w:t xml:space="preserve"> </w:t>
      </w:r>
      <w:r>
        <w:t xml:space="preserve">Extraction, cultivation, and initial processing of all materials comprising the product and its packaging. This includes the detailed Bill of Materials (BOM) provided.</w:t>
      </w:r>
    </w:p>
    <w:p>
      <w:pPr>
        <w:numPr>
          <w:ilvl w:val="1"/>
          <w:numId w:val="1004"/>
        </w:numPr>
        <w:pStyle w:val="Compact"/>
      </w:pPr>
      <w:r>
        <w:rPr>
          <w:bCs/>
          <w:b/>
        </w:rPr>
        <w:t xml:space="preserve">Manufacturing/Production:</w:t>
      </w:r>
      <w:r>
        <w:t xml:space="preserve"> </w:t>
      </w:r>
      <w:r>
        <w:t xml:space="preserve">Energy consumption and direct emissions at</w:t>
      </w:r>
      <w:r>
        <w:t xml:space="preserve"> </w:t>
      </w:r>
      <w:r>
        <w:rPr>
          <w:bCs/>
          <w:b/>
        </w:rPr>
        <w:t xml:space="preserve">kxrygmnnfp</w:t>
      </w:r>
      <w:r>
        <w:t xml:space="preserve">\'s production facility in China.</w:t>
      </w:r>
    </w:p>
    <w:p>
      <w:pPr>
        <w:numPr>
          <w:ilvl w:val="1"/>
          <w:numId w:val="1004"/>
        </w:numPr>
        <w:pStyle w:val="Compact"/>
      </w:pPr>
      <w:r>
        <w:rPr>
          <w:bCs/>
          <w:b/>
        </w:rPr>
        <w:t xml:space="preserve">Transportation (Upstream):</w:t>
      </w:r>
      <w:r>
        <w:t xml:space="preserve"> </w:t>
      </w:r>
      <w:r>
        <w:t xml:space="preserve">Logistics of raw materials and components from suppliers to the manufacturing facility.</w:t>
      </w:r>
    </w:p>
    <w:p>
      <w:pPr>
        <w:numPr>
          <w:ilvl w:val="1"/>
          <w:numId w:val="1004"/>
        </w:numPr>
        <w:pStyle w:val="Compact"/>
      </w:pPr>
      <w:r>
        <w:rPr>
          <w:bCs/>
          <w:b/>
        </w:rPr>
        <w:t xml:space="preserve">Transportation (Downstream/Distribution):</w:t>
      </w:r>
      <w:r>
        <w:t xml:space="preserve"> </w:t>
      </w:r>
      <w:r>
        <w:t xml:space="preserve">Movement of the finished product from the factory to the end-consumer in Europe, including last-mile delivery.</w:t>
      </w:r>
    </w:p>
    <w:p>
      <w:pPr>
        <w:numPr>
          <w:ilvl w:val="1"/>
          <w:numId w:val="1004"/>
        </w:numPr>
        <w:pStyle w:val="Compact"/>
      </w:pPr>
      <w:r>
        <w:rPr>
          <w:bCs/>
          <w:b/>
        </w:rPr>
        <w:t xml:space="preserve">Use Phase:</w:t>
      </w:r>
      <w:r>
        <w:t xml:space="preserve"> </w:t>
      </w:r>
      <w:r>
        <w:t xml:space="preserve">Energy consumption during the anticipated lifespan of the product by the end-user.</w:t>
      </w:r>
    </w:p>
    <w:p>
      <w:pPr>
        <w:numPr>
          <w:ilvl w:val="1"/>
          <w:numId w:val="1004"/>
        </w:numPr>
        <w:pStyle w:val="Compact"/>
      </w:pPr>
      <w:r>
        <w:rPr>
          <w:bCs/>
          <w:b/>
        </w:rPr>
        <w:t xml:space="preserve">End-of-Life (EoL):</w:t>
      </w:r>
      <w:r>
        <w:t xml:space="preserve"> </w:t>
      </w:r>
      <w:r>
        <w:t xml:space="preserve">Disposal, recycling, and recovery processes at the end of the product\'s useful life.</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was collected from provided parameters and supplemented with industry-average secondary data for emission factors where primary data was unavailable. All emission factors are reported in kg CO2e per functional unit or activity unit.</w:t>
      </w:r>
    </w:p>
    <w:p>
      <w:pPr>
        <w:numPr>
          <w:ilvl w:val="0"/>
          <w:numId w:val="1000"/>
        </w:numPr>
        <w:pStyle w:val="Heading4"/>
      </w:pPr>
      <w:bookmarkStart w:id="26" w:name="Xa17ec1365910690c0f70b9c2d3c7f3a3e315304"/>
      <w:r>
        <w:t xml:space="preserve">Detailed Breakdown of Materials (from provided BOM: vlfrpnof)</w:t>
      </w:r>
      <w:bookmarkEnd w:id="26"/>
    </w:p>
    <w:p>
      <w:pPr>
        <w:numPr>
          <w:ilvl w:val="0"/>
          <w:numId w:val="1000"/>
        </w:numPr>
      </w:pPr>
      <w:r>
        <w:t xml:space="preserve">The following Bill of Materials (BOM) for</w:t>
      </w:r>
      <w:r>
        <w:t xml:space="preserve"> </w:t>
      </w:r>
      <w:r>
        <w:rPr>
          <w:bCs/>
          <w:b/>
        </w:rPr>
        <w:t xml:space="preserve">qixnheqnmw</w:t>
      </w:r>
      <w:r>
        <w:t xml:space="preserve"> </w:t>
      </w:r>
      <w:r>
        <w:t xml:space="preserve">has been used for high-accuracy material impact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User Manual</w:t>
            </w:r>
          </w:p>
        </w:tc>
        <w:tc>
          <w:tcPr/>
          <w:p>
            <w:pPr>
              <w:pStyle w:val="Compact"/>
              <w:jc w:val="left"/>
            </w:pPr>
            <w:r>
              <w:t xml:space="preserve">Paper/Cardboard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0.008</w:t>
            </w:r>
          </w:p>
        </w:tc>
      </w:tr>
    </w:tbl>
    <w:p>
      <w:pPr>
        <w:numPr>
          <w:ilvl w:val="0"/>
          <w:numId w:val="1000"/>
        </w:numPr>
      </w:pPr>
      <w:r>
        <w:rPr>
          <w:bCs/>
          <w:b/>
        </w:rPr>
        <w:t xml:space="preserve">Total Product Weight (excluding packaging, for transport calculation):</w:t>
      </w:r>
      <w:r>
        <w:t xml:space="preserve"> </w:t>
      </w:r>
      <w:r>
        <w:t xml:space="preserve">0.5 kg (Casing) + 0.1 kg (Circuit Board assumed negligible weight for calculation as unit based) + 0.05 kg (Battery) = 0.65 kg (approx.). For aggregated calculations, total weight including packaging materials will be considered for EoL (0.86 kg).</w:t>
      </w:r>
    </w:p>
    <w:p>
      <w:pPr>
        <w:numPr>
          <w:ilvl w:val="0"/>
          <w:numId w:val="1000"/>
        </w:numPr>
        <w:pStyle w:val="Heading4"/>
      </w:pPr>
      <w:bookmarkStart w:id="27" w:name="energy-inputs-production-phase"/>
      <w:r>
        <w:t xml:space="preserve">Energy Inputs (Production Phase)</w:t>
      </w:r>
      <w:bookmarkEnd w:id="27"/>
    </w:p>
    <w:p>
      <w:pPr>
        <w:numPr>
          <w:ilvl w:val="1"/>
          <w:numId w:val="1005"/>
        </w:numPr>
        <w:pStyle w:val="Compact"/>
      </w:pPr>
      <w:r>
        <w:rPr>
          <w:bCs/>
          <w:b/>
        </w:rPr>
        <w:t xml:space="preserve">Energy Intensity (kWh/unit):</w:t>
      </w:r>
      <w:r>
        <w:t xml:space="preserve"> </w:t>
      </w:r>
      <w:r>
        <w:t xml:space="preserve">sjykvgjqyh (1.2 kWh/unit)</w:t>
      </w:r>
    </w:p>
    <w:p>
      <w:pPr>
        <w:numPr>
          <w:ilvl w:val="1"/>
          <w:numId w:val="1005"/>
        </w:numPr>
        <w:pStyle w:val="Compact"/>
      </w:pPr>
      <w:r>
        <w:rPr>
          <w:bCs/>
          <w:b/>
        </w:rPr>
        <w:t xml:space="preserve">Renewable Energy Usage:</w:t>
      </w:r>
      <w:r>
        <w:t xml:space="preserve"> </w:t>
      </w:r>
      <w:r>
        <w:t xml:space="preserve">vdzdvlzkkp (40%)</w:t>
      </w:r>
    </w:p>
    <w:p>
      <w:pPr>
        <w:numPr>
          <w:ilvl w:val="1"/>
          <w:numId w:val="1005"/>
        </w:numPr>
        <w:pStyle w:val="Compact"/>
      </w:pPr>
      <w:r>
        <w:rPr>
          <w:bCs/>
          <w:b/>
        </w:rPr>
        <w:t xml:space="preserve">Grid Emission Factor (China):</w:t>
      </w:r>
      <w:r>
        <w:t xml:space="preserve"> </w:t>
      </w:r>
      <w:r>
        <w:t xml:space="preserve">0.556 kg CO2e/kWh (Based on Ministry of Ecology and Environment (MEE) 2021 data / Climatiq 2019 data).</w:t>
      </w:r>
    </w:p>
    <w:p>
      <w:pPr>
        <w:numPr>
          <w:ilvl w:val="1"/>
          <w:numId w:val="1005"/>
        </w:numPr>
        <w:pStyle w:val="Compact"/>
      </w:pPr>
      <w:r>
        <w:rPr>
          <w:bCs/>
          <w:b/>
        </w:rPr>
        <w:t xml:space="preserve">Renewable Energy Emission Factor:</w:t>
      </w:r>
      <w:r>
        <w:t xml:space="preserve"> </w:t>
      </w:r>
      <w:r>
        <w:t xml:space="preserve">0 kg CO2e/kWh (Assumed for directly purchased or generated renewable energy).</w:t>
      </w:r>
    </w:p>
    <w:p>
      <w:pPr>
        <w:numPr>
          <w:ilvl w:val="0"/>
          <w:numId w:val="1000"/>
        </w:numPr>
        <w:pStyle w:val="Heading4"/>
      </w:pPr>
      <w:bookmarkStart w:id="28" w:name="logistics-data"/>
      <w:r>
        <w:t xml:space="preserve">Logistics Data</w:t>
      </w:r>
      <w:bookmarkEnd w:id="28"/>
    </w:p>
    <w:p>
      <w:pPr>
        <w:numPr>
          <w:ilvl w:val="1"/>
          <w:numId w:val="1006"/>
        </w:numPr>
        <w:pStyle w:val="Compact"/>
      </w:pPr>
      <w:r>
        <w:rPr>
          <w:bCs/>
          <w:b/>
        </w:rPr>
        <w:t xml:space="preserve">Upstream Transport Mode:</w:t>
      </w:r>
      <w:r>
        <w:t xml:space="preserve"> </w:t>
      </w:r>
      <w:r>
        <w:t xml:space="preserve">Select Mode (Assumed: Road - Heavy Goods Vehicle)</w:t>
      </w:r>
    </w:p>
    <w:p>
      <w:pPr>
        <w:numPr>
          <w:ilvl w:val="1"/>
          <w:numId w:val="1006"/>
        </w:numPr>
        <w:pStyle w:val="Compact"/>
      </w:pPr>
      <w:r>
        <w:rPr>
          <w:bCs/>
          <w:b/>
        </w:rPr>
        <w:t xml:space="preserve">Upstream Transport Distance:</w:t>
      </w:r>
      <w:r>
        <w:t xml:space="preserve"> </w:t>
      </w:r>
      <w:r>
        <w:t xml:space="preserve">ylrjfsevnl (1500 km)</w:t>
      </w:r>
    </w:p>
    <w:p>
      <w:pPr>
        <w:numPr>
          <w:ilvl w:val="1"/>
          <w:numId w:val="1006"/>
        </w:numPr>
        <w:pStyle w:val="Compact"/>
      </w:pPr>
      <w:r>
        <w:rPr>
          <w:bCs/>
          <w:b/>
        </w:rPr>
        <w:t xml:space="preserve">Downstream Last-Mile Delivery Channel:</w:t>
      </w:r>
      <w:r>
        <w:t xml:space="preserve"> </w:t>
      </w:r>
      <w:r>
        <w:t xml:space="preserve">Delivery Type (Assumed: Standard Courier Service)</w:t>
      </w:r>
    </w:p>
    <w:p>
      <w:pPr>
        <w:numPr>
          <w:ilvl w:val="1"/>
          <w:numId w:val="1006"/>
        </w:numPr>
        <w:pStyle w:val="Compact"/>
      </w:pPr>
      <w:r>
        <w:rPr>
          <w:bCs/>
          <w:b/>
        </w:rPr>
        <w:t xml:space="preserve">Downstream Last-Mile Distance:</w:t>
      </w:r>
      <w:r>
        <w:t xml:space="preserve"> </w:t>
      </w:r>
      <w:r>
        <w:t xml:space="preserve">500 km (Illustrative for European distribution)</w:t>
      </w:r>
    </w:p>
    <w:p>
      <w:pPr>
        <w:numPr>
          <w:ilvl w:val="1"/>
          <w:numId w:val="1006"/>
        </w:numPr>
        <w:pStyle w:val="Compact"/>
      </w:pPr>
      <w:r>
        <w:rPr>
          <w:bCs/>
          <w:b/>
        </w:rPr>
        <w:t xml:space="preserve">Road Freight Emission Factor (HGV):</w:t>
      </w:r>
      <w:r>
        <w:t xml:space="preserve"> </w:t>
      </w:r>
      <w:r>
        <w:t xml:space="preserve">0.1 kg CO2e/tonne-km (Industry average for full lifecycle emissions including WTT and TTW).</w:t>
      </w:r>
    </w:p>
    <w:p>
      <w:pPr>
        <w:numPr>
          <w:ilvl w:val="1"/>
          <w:numId w:val="1006"/>
        </w:numPr>
        <w:pStyle w:val="Compact"/>
      </w:pPr>
      <w:r>
        <w:rPr>
          <w:bCs/>
          <w:b/>
        </w:rPr>
        <w:t xml:space="preserve">Courier Service Emission Factor (Last-Mile):</w:t>
      </w:r>
      <w:r>
        <w:t xml:space="preserve"> </w:t>
      </w:r>
      <w:r>
        <w:t xml:space="preserve">0.5 kg CO2e/package (Illustrative, package-based for final delivery).</w:t>
      </w:r>
    </w:p>
    <w:p>
      <w:pPr>
        <w:numPr>
          <w:ilvl w:val="0"/>
          <w:numId w:val="1000"/>
        </w:numPr>
        <w:pStyle w:val="Heading4"/>
      </w:pPr>
      <w:bookmarkStart w:id="29" w:name="use-phase-data"/>
      <w:r>
        <w:t xml:space="preserve">Use Phase Data</w:t>
      </w:r>
      <w:bookmarkEnd w:id="29"/>
    </w:p>
    <w:p>
      <w:pPr>
        <w:numPr>
          <w:ilvl w:val="1"/>
          <w:numId w:val="1007"/>
        </w:numPr>
        <w:pStyle w:val="Compact"/>
      </w:pPr>
      <w:r>
        <w:rPr>
          <w:bCs/>
          <w:b/>
        </w:rPr>
        <w:t xml:space="preserve">Product Lifespan:</w:t>
      </w:r>
      <w:r>
        <w:t xml:space="preserve"> </w:t>
      </w:r>
      <w:r>
        <w:t xml:space="preserve">jdtkdlvknq (5 years)</w:t>
      </w:r>
    </w:p>
    <w:p>
      <w:pPr>
        <w:numPr>
          <w:ilvl w:val="1"/>
          <w:numId w:val="1007"/>
        </w:numPr>
        <w:pStyle w:val="Compact"/>
      </w:pPr>
      <w:r>
        <w:rPr>
          <w:bCs/>
          <w:b/>
        </w:rPr>
        <w:t xml:space="preserve">Energy Consumption in Use:</w:t>
      </w:r>
      <w:r>
        <w:t xml:space="preserve"> </w:t>
      </w:r>
      <w:r>
        <w:t xml:space="preserve">yxywrdwhms (5 kWh/year)</w:t>
      </w:r>
    </w:p>
    <w:p>
      <w:pPr>
        <w:numPr>
          <w:ilvl w:val="1"/>
          <w:numId w:val="1007"/>
        </w:numPr>
        <w:pStyle w:val="Compact"/>
      </w:pPr>
      <w:r>
        <w:rPr>
          <w:bCs/>
          <w:b/>
        </w:rPr>
        <w:t xml:space="preserve">Grid Emission Factor (European Use):</w:t>
      </w:r>
      <w:r>
        <w:t xml:space="preserve"> </w:t>
      </w:r>
      <w:r>
        <w:t xml:space="preserve">0.238 kg CO2e/kWh (Based on Climatiq 2019 data / European Environment Agency (EEA) 2021 data for EU grid mix).</w:t>
      </w:r>
    </w:p>
    <w:p>
      <w:pPr>
        <w:numPr>
          <w:ilvl w:val="0"/>
          <w:numId w:val="1000"/>
        </w:numPr>
        <w:pStyle w:val="Heading4"/>
      </w:pPr>
      <w:bookmarkStart w:id="30" w:name="end-of-life-eol-data"/>
      <w:r>
        <w:t xml:space="preserve">End-of-Life (EoL) Data</w:t>
      </w:r>
      <w:bookmarkEnd w:id="30"/>
    </w:p>
    <w:p>
      <w:pPr>
        <w:numPr>
          <w:ilvl w:val="1"/>
          <w:numId w:val="1008"/>
        </w:numPr>
        <w:pStyle w:val="Compact"/>
      </w:pPr>
      <w:r>
        <w:rPr>
          <w:bCs/>
          <w:b/>
        </w:rPr>
        <w:t xml:space="preserve">Recyclability Percentage:</w:t>
      </w:r>
      <w:r>
        <w:t xml:space="preserve"> </w:t>
      </w:r>
      <w:r>
        <w:t xml:space="preserve">tresteewkh (70%)</w:t>
      </w:r>
    </w:p>
    <w:p>
      <w:pPr>
        <w:numPr>
          <w:ilvl w:val="1"/>
          <w:numId w:val="1008"/>
        </w:numPr>
        <w:pStyle w:val="Compact"/>
      </w:pPr>
      <w:r>
        <w:rPr>
          <w:bCs/>
          <w:b/>
        </w:rPr>
        <w:t xml:space="preserve">Circular/Take-back Programs:</w:t>
      </w:r>
      <w:r>
        <w:t xml:space="preserve"> </w:t>
      </w:r>
      <w:r>
        <w:t xml:space="preserve">firtkwikdy (Product take-back and refurbishment program in pilot phase)</w:t>
      </w:r>
    </w:p>
    <w:p>
      <w:pPr>
        <w:numPr>
          <w:ilvl w:val="1"/>
          <w:numId w:val="1008"/>
        </w:numPr>
        <w:pStyle w:val="Compact"/>
      </w:pPr>
      <w:r>
        <w:rPr>
          <w:bCs/>
          <w:b/>
        </w:rPr>
        <w:t xml:space="preserve">Waste Disposal (Landfill/Incineration) Emission Factor:</w:t>
      </w:r>
      <w:r>
        <w:t xml:space="preserve"> </w:t>
      </w:r>
      <w:r>
        <w:t xml:space="preserve">0.15 kg CO2e/kg (Illustrative average for mixed waste disposal, considering various waste types).</w:t>
      </w:r>
    </w:p>
    <w:p>
      <w:pPr>
        <w:numPr>
          <w:ilvl w:val="1"/>
          <w:numId w:val="1008"/>
        </w:numPr>
        <w:pStyle w:val="Compact"/>
      </w:pPr>
      <w:r>
        <w:rPr>
          <w:bCs/>
          <w:b/>
        </w:rPr>
        <w:t xml:space="preserve">Recycling Credit (Avoided Virgin Production):</w:t>
      </w:r>
      <w:r>
        <w:t xml:space="preserve"> </w:t>
      </w:r>
      <w:r>
        <w:t xml:space="preserve">-0.7 kg CO2e/kg (Illustrative average, considering typical savings for mixed materials. For example, plastic recycling can save 1.08 kg CO2e/kg, and metals much more).</w:t>
      </w:r>
    </w:p>
    <w:p>
      <w:r>
        <w:pict>
          <v:rect style="width:0;height:1.5pt" o:hralign="center" o:hrstd="t" o:hr="t"/>
        </w:pict>
      </w:r>
    </w:p>
    <w:bookmarkEnd w:id="31"/>
    <w:bookmarkStart w:id="39" w:name="emission-calculation"/>
    <w:bookmarkStart w:id="38"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qixnheqnmw) and categorized according to the GHG Protocol scopes.</w:t>
      </w:r>
    </w:p>
    <w:bookmarkStart w:id="32" w:name="X223d55ad1cb17aeb385fd638ffc3c9cc61666d2"/>
    <w:p>
      <w:pPr>
        <w:pStyle w:val="Heading3"/>
      </w:pPr>
      <w:r>
        <w:t xml:space="preserve">Scope 1: Direct Emissions (from owned or controlled sources)</w:t>
      </w:r>
    </w:p>
    <w:p>
      <w:pPr>
        <w:numPr>
          <w:ilvl w:val="0"/>
          <w:numId w:val="1009"/>
        </w:numPr>
        <w:pStyle w:val="Compact"/>
      </w:pPr>
      <w:r>
        <w:t xml:space="preserve">While specific direct combustion data for</w:t>
      </w:r>
      <w:r>
        <w:t xml:space="preserve"> </w:t>
      </w:r>
      <w:r>
        <w:rPr>
          <w:bCs/>
          <w:b/>
        </w:rPr>
        <w:t xml:space="preserve">kxrygmnnfp</w:t>
      </w:r>
      <w:r>
        <w:t xml:space="preserve"> </w:t>
      </w:r>
      <w:r>
        <w:t xml:space="preserve">is not provided, an illustrative value for minor on-site operations (e.g., small-scale heating, company-owned vehicles at the factory) is included.</w:t>
      </w:r>
    </w:p>
    <w:p>
      <w:pPr>
        <w:numPr>
          <w:ilvl w:val="1"/>
          <w:numId w:val="1010"/>
        </w:numPr>
        <w:pStyle w:val="Compact"/>
      </w:pPr>
      <w:r>
        <w:rPr>
          <w:bCs/>
          <w:b/>
        </w:rPr>
        <w:t xml:space="preserve">Estimated Direct Operational Emissions:</w:t>
      </w:r>
      <w:r>
        <w:t xml:space="preserve"> </w:t>
      </w:r>
      <w:r>
        <w:t xml:space="preserve">0.01 kg CO2e/unit</w:t>
      </w:r>
    </w:p>
    <w:p>
      <w:pPr>
        <w:pStyle w:val="FirstParagraph"/>
      </w:pPr>
      <w:r>
        <w:rPr>
          <w:bCs/>
          <w:b/>
        </w:rPr>
        <w:t xml:space="preserve">Total Scope 1 Emissions: 0.01 kg CO2e/unit</w:t>
      </w:r>
    </w:p>
    <w:bookmarkEnd w:id="32"/>
    <w:bookmarkStart w:id="33" w:name="Xea3be019b1a4ffc3cf13713d4cdff086b1152cf"/>
    <w:p>
      <w:pPr>
        <w:pStyle w:val="Heading3"/>
      </w:pPr>
      <w:r>
        <w:t xml:space="preserve">Scope 2: Indirect Emissions from Purchased Energy (Electricity)</w:t>
      </w:r>
    </w:p>
    <w:p>
      <w:pPr>
        <w:numPr>
          <w:ilvl w:val="0"/>
          <w:numId w:val="1011"/>
        </w:numPr>
        <w:pStyle w:val="Compact"/>
      </w:pPr>
      <w:r>
        <w:t xml:space="preserve">Emissions from purchased electricity for the manufacturing process at</w:t>
      </w:r>
      <w:r>
        <w:t xml:space="preserve"> </w:t>
      </w:r>
      <w:r>
        <w:rPr>
          <w:bCs/>
          <w:b/>
        </w:rPr>
        <w:t xml:space="preserve">kxrygmnnfp</w:t>
      </w:r>
      <w:r>
        <w:t xml:space="preserve">\'s facility in China.</w:t>
      </w:r>
    </w:p>
    <w:p>
      <w:pPr>
        <w:numPr>
          <w:ilvl w:val="1"/>
          <w:numId w:val="1012"/>
        </w:numPr>
        <w:pStyle w:val="Compact"/>
      </w:pPr>
      <w:r>
        <w:t xml:space="preserve">Energy Intensity: 1.2 kWh/unit</w:t>
      </w:r>
    </w:p>
    <w:p>
      <w:pPr>
        <w:numPr>
          <w:ilvl w:val="1"/>
          <w:numId w:val="1012"/>
        </w:numPr>
        <w:pStyle w:val="Compact"/>
      </w:pPr>
      <w:r>
        <w:t xml:space="preserve">Non-renewable portion: 1.2 kWh/unit * (1 - 0.40) = 0.72 kWh/unit</w:t>
      </w:r>
    </w:p>
    <w:p>
      <w:pPr>
        <w:numPr>
          <w:ilvl w:val="1"/>
          <w:numId w:val="1012"/>
        </w:numPr>
        <w:pStyle w:val="Compact"/>
      </w:pPr>
      <w:r>
        <w:t xml:space="preserve">Renewable portion: 1.2 kWh/unit * 0.40 = 0.48 kWh/unit</w:t>
      </w:r>
    </w:p>
    <w:p>
      <w:pPr>
        <w:numPr>
          <w:ilvl w:val="1"/>
          <w:numId w:val="1012"/>
        </w:numPr>
        <w:pStyle w:val="Compact"/>
      </w:pPr>
      <w:r>
        <w:t xml:space="preserve">China Grid Emission Factor: 0.556 kg CO2e/kWh</w:t>
      </w:r>
    </w:p>
    <w:p>
      <w:pPr>
        <w:numPr>
          <w:ilvl w:val="1"/>
          <w:numId w:val="1012"/>
        </w:numPr>
        <w:pStyle w:val="Compact"/>
      </w:pPr>
      <w:r>
        <w:t xml:space="preserve">Renewable Energy Emission Factor: 0 kg CO2e/kWh</w:t>
      </w:r>
    </w:p>
    <w:p>
      <w:pPr>
        <w:numPr>
          <w:ilvl w:val="1"/>
          <w:numId w:val="1012"/>
        </w:numPr>
        <w:pStyle w:val="Compact"/>
      </w:pPr>
      <w:r>
        <w:rPr>
          <w:bCs/>
          <w:b/>
        </w:rPr>
        <w:t xml:space="preserve">Calculation:</w:t>
      </w:r>
      <w:r>
        <w:t xml:space="preserve"> </w:t>
      </w:r>
      <w:r>
        <w:t xml:space="preserve">(0.72 kWh/unit * 0.556 kg CO2e/kWh) + (0.48 kWh/unit * 0 kg CO2e/kWh) = 0.40032 kg CO2e/unit</w:t>
      </w:r>
    </w:p>
    <w:p>
      <w:pPr>
        <w:pStyle w:val="FirstParagraph"/>
      </w:pPr>
      <w:r>
        <w:rPr>
          <w:bCs/>
          <w:b/>
        </w:rPr>
        <w:t xml:space="preserve">Total Scope 2 Emissions: 0.40 kg CO2e/unit</w:t>
      </w:r>
    </w:p>
    <w:bookmarkEnd w:id="33"/>
    <w:bookmarkStart w:id="36" w:name="Xd1c2b652bc5876514f180a21f002993b8de8e83"/>
    <w:p>
      <w:pPr>
        <w:pStyle w:val="Heading3"/>
      </w:pPr>
      <w:r>
        <w:t xml:space="preserve">Scope 3: Other Indirect Emissions (Value Chain)</w:t>
      </w:r>
    </w:p>
    <w:p>
      <w:pPr>
        <w:pStyle w:val="FirstParagraph"/>
      </w:pPr>
      <w:r>
        <w:t xml:space="preserve">Scope 3 emissions are typically the largest portion of a product\'s footprint, often accounting for 70-90% of total emissions.</w:t>
      </w:r>
    </w:p>
    <w:bookmarkStart w:id="34" w:name="upstream-emissions-categories-1-8"/>
    <w:p>
      <w:pPr>
        <w:pStyle w:val="Heading4"/>
      </w:pPr>
      <w:r>
        <w:t xml:space="preserve">Upstream Emissions (Categories 1-8)</w:t>
      </w:r>
    </w:p>
    <w:p>
      <w:pPr>
        <w:numPr>
          <w:ilvl w:val="0"/>
          <w:numId w:val="1013"/>
        </w:numPr>
        <w:pStyle w:val="Compact"/>
      </w:pPr>
      <w:r>
        <w:rPr>
          <w:bCs/>
          <w:b/>
        </w:rPr>
        <w:t xml:space="preserve">Category 1: Purchased Goods and Services (Materials)</w:t>
      </w:r>
    </w:p>
    <w:p>
      <w:pPr>
        <w:numPr>
          <w:ilvl w:val="1"/>
          <w:numId w:val="1014"/>
        </w:numPr>
        <w:pStyle w:val="Compact"/>
      </w:pPr>
      <w:r>
        <w:t xml:space="preserve">Sum of "Total Carbon" from the Detailed Bill of Materials (BOM) represents the emissions embedded in raw materials and their processing.</w:t>
      </w:r>
    </w:p>
    <w:p>
      <w:pPr>
        <w:numPr>
          <w:ilvl w:val="1"/>
          <w:numId w:val="1014"/>
        </w:numPr>
        <w:pStyle w:val="Compact"/>
      </w:pPr>
      <w:r>
        <w:rPr>
          <w:bCs/>
          <w:b/>
        </w:rPr>
        <w:t xml:space="preserve">Total Material Impact:</w:t>
      </w:r>
      <w:r>
        <w:t xml:space="preserve"> </w:t>
      </w:r>
      <w:r>
        <w:t xml:space="preserve">1.25 + 1.5 + 0.4 + 0.2 + 0.008 = 3.358 kg CO2e/unit</w:t>
      </w:r>
    </w:p>
    <w:p>
      <w:pPr>
        <w:numPr>
          <w:ilvl w:val="0"/>
          <w:numId w:val="1013"/>
        </w:numPr>
        <w:pStyle w:val="Compact"/>
      </w:pPr>
      <w:r>
        <w:rPr>
          <w:bCs/>
          <w:b/>
        </w:rPr>
        <w:t xml:space="preserve">Category 4: Upstream Transportation and Distribution</w:t>
      </w:r>
    </w:p>
    <w:p>
      <w:pPr>
        <w:numPr>
          <w:ilvl w:val="1"/>
          <w:numId w:val="1015"/>
        </w:numPr>
        <w:pStyle w:val="Compact"/>
      </w:pPr>
      <w:r>
        <w:t xml:space="preserve">Transportation of raw materials and components to</w:t>
      </w:r>
      <w:r>
        <w:t xml:space="preserve"> </w:t>
      </w:r>
      <w:r>
        <w:rPr>
          <w:bCs/>
          <w:b/>
        </w:rPr>
        <w:t xml:space="preserve">kxrygmnnfp</w:t>
      </w:r>
      <w:r>
        <w:t xml:space="preserve">\'s factory.</w:t>
      </w:r>
    </w:p>
    <w:p>
      <w:pPr>
        <w:numPr>
          <w:ilvl w:val="1"/>
          <w:numId w:val="1015"/>
        </w:numPr>
        <w:pStyle w:val="Compact"/>
      </w:pPr>
      <w:r>
        <w:t xml:space="preserve">Product Weight (for transport): 0.86 kg</w:t>
      </w:r>
    </w:p>
    <w:p>
      <w:pPr>
        <w:numPr>
          <w:ilvl w:val="1"/>
          <w:numId w:val="1015"/>
        </w:numPr>
        <w:pStyle w:val="Compact"/>
      </w:pPr>
      <w:r>
        <w:t xml:space="preserve">Transport Distance: 1500 km</w:t>
      </w:r>
    </w:p>
    <w:p>
      <w:pPr>
        <w:numPr>
          <w:ilvl w:val="1"/>
          <w:numId w:val="1015"/>
        </w:numPr>
        <w:pStyle w:val="Compact"/>
      </w:pPr>
      <w:r>
        <w:t xml:space="preserve">Road Freight Emission Factor: 0.1 kg CO2e/tonne-km</w:t>
      </w:r>
    </w:p>
    <w:p>
      <w:pPr>
        <w:numPr>
          <w:ilvl w:val="1"/>
          <w:numId w:val="1015"/>
        </w:numPr>
        <w:pStyle w:val="Compact"/>
      </w:pPr>
      <w:r>
        <w:rPr>
          <w:bCs/>
          <w:b/>
        </w:rPr>
        <w:t xml:space="preserve">Calculation:</w:t>
      </w:r>
      <w:r>
        <w:t xml:space="preserve"> </w:t>
      </w:r>
      <w:r>
        <w:t xml:space="preserve">(0.86 kg / 1000 kg/tonne) * 1500 km * 0.1 kg CO2e/tonne-km = 0.129 kg CO2e/unit</w:t>
      </w:r>
    </w:p>
    <w:p>
      <w:pPr>
        <w:pStyle w:val="FirstParagraph"/>
      </w:pPr>
      <w:r>
        <w:rPr>
          <w:bCs/>
          <w:b/>
        </w:rPr>
        <w:t xml:space="preserve">Total Upstream Scope 3 Emissions: 3.358 kg CO2e + 0.129 kg CO2e = 3.487 kg CO2e/unit</w:t>
      </w:r>
    </w:p>
    <w:bookmarkEnd w:id="34"/>
    <w:bookmarkStart w:id="35" w:name="downstream-emissions-categories-9-15"/>
    <w:p>
      <w:pPr>
        <w:pStyle w:val="Heading4"/>
      </w:pPr>
      <w:r>
        <w:t xml:space="preserve">Downstream Emissions (Categories 9-15)</w:t>
      </w:r>
    </w:p>
    <w:p>
      <w:pPr>
        <w:numPr>
          <w:ilvl w:val="0"/>
          <w:numId w:val="1016"/>
        </w:numPr>
        <w:pStyle w:val="Compact"/>
      </w:pPr>
      <w:r>
        <w:rPr>
          <w:bCs/>
          <w:b/>
        </w:rPr>
        <w:t xml:space="preserve">Category 9: Downstream Transportation and Distribution (Last-Mile Delivery)</w:t>
      </w:r>
    </w:p>
    <w:p>
      <w:pPr>
        <w:numPr>
          <w:ilvl w:val="1"/>
          <w:numId w:val="1017"/>
        </w:numPr>
        <w:pStyle w:val="Compact"/>
      </w:pPr>
      <w:r>
        <w:t xml:space="preserve">Last-Mile Delivery Channel: Standard Courier Service</w:t>
      </w:r>
    </w:p>
    <w:p>
      <w:pPr>
        <w:numPr>
          <w:ilvl w:val="1"/>
          <w:numId w:val="1017"/>
        </w:numPr>
        <w:pStyle w:val="Compact"/>
      </w:pPr>
      <w:r>
        <w:rPr>
          <w:bCs/>
          <w:b/>
        </w:rPr>
        <w:t xml:space="preserve">Estimated Last-Mile Emissions:</w:t>
      </w:r>
      <w:r>
        <w:t xml:space="preserve"> </w:t>
      </w:r>
      <w:r>
        <w:t xml:space="preserve">0.5 kg CO2e/unit (Illustrative package-based emission for final delivery to customer)</w:t>
      </w:r>
    </w:p>
    <w:p>
      <w:pPr>
        <w:numPr>
          <w:ilvl w:val="0"/>
          <w:numId w:val="1016"/>
        </w:numPr>
        <w:pStyle w:val="Compact"/>
      </w:pPr>
      <w:r>
        <w:rPr>
          <w:bCs/>
          <w:b/>
        </w:rPr>
        <w:t xml:space="preserve">Category 11: Use of Sold Products</w:t>
      </w:r>
    </w:p>
    <w:p>
      <w:pPr>
        <w:numPr>
          <w:ilvl w:val="1"/>
          <w:numId w:val="1018"/>
        </w:numPr>
        <w:pStyle w:val="Compact"/>
      </w:pPr>
      <w:r>
        <w:t xml:space="preserve">Energy consumption during the product\'s lifespan.</w:t>
      </w:r>
    </w:p>
    <w:p>
      <w:pPr>
        <w:numPr>
          <w:ilvl w:val="1"/>
          <w:numId w:val="1018"/>
        </w:numPr>
        <w:pStyle w:val="Compact"/>
      </w:pPr>
      <w:r>
        <w:t xml:space="preserve">Product Lifespan: 5 years</w:t>
      </w:r>
    </w:p>
    <w:p>
      <w:pPr>
        <w:numPr>
          <w:ilvl w:val="1"/>
          <w:numId w:val="1018"/>
        </w:numPr>
        <w:pStyle w:val="Compact"/>
      </w:pPr>
      <w:r>
        <w:t xml:space="preserve">Energy Consumption in Use: 5 kWh/year</w:t>
      </w:r>
    </w:p>
    <w:p>
      <w:pPr>
        <w:numPr>
          <w:ilvl w:val="1"/>
          <w:numId w:val="1018"/>
        </w:numPr>
        <w:pStyle w:val="Compact"/>
      </w:pPr>
      <w:r>
        <w:t xml:space="preserve">European Grid Emission Factor: 0.238 kg CO2e/kWh</w:t>
      </w:r>
    </w:p>
    <w:p>
      <w:pPr>
        <w:numPr>
          <w:ilvl w:val="1"/>
          <w:numId w:val="1018"/>
        </w:numPr>
        <w:pStyle w:val="Compact"/>
      </w:pPr>
      <w:r>
        <w:rPr>
          <w:bCs/>
          <w:b/>
        </w:rPr>
        <w:t xml:space="preserve">Calculation:</w:t>
      </w:r>
      <w:r>
        <w:t xml:space="preserve"> </w:t>
      </w:r>
      <w:r>
        <w:t xml:space="preserve">5 years * 5 kWh/year * 0.238 kg CO2e/kWh = 5.95 kg CO2e/unit</w:t>
      </w:r>
    </w:p>
    <w:p>
      <w:pPr>
        <w:numPr>
          <w:ilvl w:val="0"/>
          <w:numId w:val="1016"/>
        </w:numPr>
        <w:pStyle w:val="Compact"/>
      </w:pPr>
      <w:r>
        <w:rPr>
          <w:bCs/>
          <w:b/>
        </w:rPr>
        <w:t xml:space="preserve">Category 12: End-of-Life Treatment of Sold Products</w:t>
      </w:r>
    </w:p>
    <w:p>
      <w:pPr>
        <w:numPr>
          <w:ilvl w:val="1"/>
          <w:numId w:val="1019"/>
        </w:numPr>
        <w:pStyle w:val="Compact"/>
      </w:pPr>
      <w:r>
        <w:t xml:space="preserve">Addressing both disposal of non-recycled components and avoided emissions from recycling.</w:t>
      </w:r>
    </w:p>
    <w:p>
      <w:pPr>
        <w:numPr>
          <w:ilvl w:val="1"/>
          <w:numId w:val="1019"/>
        </w:numPr>
        <w:pStyle w:val="Compact"/>
      </w:pPr>
      <w:r>
        <w:t xml:space="preserve">Product Weight (EoL): 0.86 kg</w:t>
      </w:r>
    </w:p>
    <w:p>
      <w:pPr>
        <w:numPr>
          <w:ilvl w:val="1"/>
          <w:numId w:val="1019"/>
        </w:numPr>
        <w:pStyle w:val="Compact"/>
      </w:pPr>
      <w:r>
        <w:t xml:space="preserve">Non-recycled portion: 0.86 kg * (1 - 0.70) = 0.258 kg</w:t>
      </w:r>
    </w:p>
    <w:p>
      <w:pPr>
        <w:numPr>
          <w:ilvl w:val="1"/>
          <w:numId w:val="1019"/>
        </w:numPr>
        <w:pStyle w:val="Compact"/>
      </w:pPr>
      <w:r>
        <w:t xml:space="preserve">Recycled portion: 0.86 kg * 0.70 = 0.602 kg</w:t>
      </w:r>
    </w:p>
    <w:p>
      <w:pPr>
        <w:numPr>
          <w:ilvl w:val="1"/>
          <w:numId w:val="1019"/>
        </w:numPr>
        <w:pStyle w:val="Compact"/>
      </w:pPr>
      <w:r>
        <w:t xml:space="preserve">Emissions from waste disposal: 0.258 kg * 0.15 kg CO2e/kg = 0.0387 kg CO2e</w:t>
      </w:r>
    </w:p>
    <w:p>
      <w:pPr>
        <w:numPr>
          <w:ilvl w:val="1"/>
          <w:numId w:val="1019"/>
        </w:numPr>
        <w:pStyle w:val="Compact"/>
      </w:pPr>
      <w:r>
        <w:t xml:space="preserve">Avoided emissions from recycling: 0.602 kg * -0.7 kg CO2e/kg = -0.4214 kg CO2e</w:t>
      </w:r>
    </w:p>
    <w:p>
      <w:pPr>
        <w:numPr>
          <w:ilvl w:val="1"/>
          <w:numId w:val="1019"/>
        </w:numPr>
        <w:pStyle w:val="Compact"/>
      </w:pPr>
      <w:r>
        <w:rPr>
          <w:bCs/>
          <w:b/>
        </w:rPr>
        <w:t xml:space="preserve">Net End-of-Life Emissions:</w:t>
      </w:r>
      <w:r>
        <w:t xml:space="preserve"> </w:t>
      </w:r>
      <w:r>
        <w:t xml:space="preserve">0.0387 kg CO2e + (-0.4214 kg CO2e) = -0.3827 kg CO2e/unit (Net saving)</w:t>
      </w:r>
    </w:p>
    <w:p>
      <w:pPr>
        <w:numPr>
          <w:ilvl w:val="1"/>
          <w:numId w:val="1019"/>
        </w:numPr>
        <w:pStyle w:val="Compact"/>
      </w:pPr>
      <w:r>
        <w:rPr>
          <w:bCs/>
          <w:b/>
        </w:rPr>
        <w:t xml:space="preserve">Circular/Take-back Programs:</w:t>
      </w:r>
      <w:r>
        <w:t xml:space="preserve"> </w:t>
      </w:r>
      <w:r>
        <w:t xml:space="preserve">The "Product take-back and refurbishment program in pilot phase" implemented by</w:t>
      </w:r>
      <w:r>
        <w:t xml:space="preserve"> </w:t>
      </w:r>
      <w:r>
        <w:rPr>
          <w:bCs/>
          <w:b/>
        </w:rPr>
        <w:t xml:space="preserve">kxrygmnnfp</w:t>
      </w:r>
      <w:r>
        <w:t xml:space="preserve"> </w:t>
      </w:r>
      <w:r>
        <w:t xml:space="preserve">demonstrates a commitment to circularity, which will further reduce EoL impacts and potentially generate higher avoided emissions or direct removals in the future.</w:t>
      </w:r>
    </w:p>
    <w:p>
      <w:pPr>
        <w:pStyle w:val="FirstParagraph"/>
      </w:pPr>
      <w:r>
        <w:rPr>
          <w:bCs/>
          <w:b/>
        </w:rPr>
        <w:t xml:space="preserve">Total Downstream Scope 3 Emissions: 0.5 kg CO2e + 5.95 kg CO2e - 0.3827 kg CO2e = 6.0673 kg CO2e/unit</w:t>
      </w:r>
    </w:p>
    <w:bookmarkEnd w:id="35"/>
    <w:bookmarkEnd w:id="36"/>
    <w:bookmarkStart w:id="37" w:name="Xea6ad6b4ce3a77b23bd52ca8487b87854bf5a4f"/>
    <w:p>
      <w:pPr>
        <w:pStyle w:val="Heading3"/>
      </w:pPr>
      <w:r>
        <w:t xml:space="preserve">Summary of Product Carbon Footprint (PCF) for qixnheqnmw</w:t>
      </w:r>
    </w:p>
    <w:p>
      <w:pPr>
        <w:pStyle w:val="FirstParagraph"/>
      </w:pPr>
      <w:r>
        <w:t xml:space="preserve">The total Product Carbon Footprint for</w:t>
      </w:r>
      <w:r>
        <w:t xml:space="preserve"> </w:t>
      </w:r>
      <w:r>
        <w:rPr>
          <w:bCs/>
          <w:b/>
        </w:rPr>
        <w:t xml:space="preserve">qixnheqnmw</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0.0100</w:t>
            </w:r>
          </w:p>
        </w:tc>
        <w:tc>
          <w:tcPr/>
          <w:p>
            <w:pPr>
              <w:pStyle w:val="Compact"/>
              <w:jc w:val="left"/>
            </w:pPr>
            <w:r>
              <w:t xml:space="preserve">0.11%</w:t>
            </w:r>
          </w:p>
        </w:tc>
      </w:tr>
      <w:tr>
        <w:tc>
          <w:tcPr/>
          <w:p>
            <w:pPr>
              <w:pStyle w:val="Compact"/>
              <w:jc w:val="left"/>
            </w:pPr>
            <w:r>
              <w:t xml:space="preserve">Scope 2 (Purchased Electricity for Production)</w:t>
            </w:r>
          </w:p>
        </w:tc>
        <w:tc>
          <w:tcPr/>
          <w:p>
            <w:pPr>
              <w:pStyle w:val="Compact"/>
              <w:jc w:val="left"/>
            </w:pPr>
            <w:r>
              <w:t xml:space="preserve">0.4003</w:t>
            </w:r>
          </w:p>
        </w:tc>
        <w:tc>
          <w:tcPr/>
          <w:p>
            <w:pPr>
              <w:pStyle w:val="Compact"/>
              <w:jc w:val="left"/>
            </w:pPr>
            <w:r>
              <w:t xml:space="preserve">4.33%</w:t>
            </w:r>
          </w:p>
        </w:tc>
      </w:tr>
      <w:tr>
        <w:tc>
          <w:tcPr/>
          <w:p>
            <w:pPr>
              <w:pStyle w:val="Compact"/>
              <w:jc w:val="left"/>
            </w:pPr>
            <w:r>
              <w:t xml:space="preserve">Scope 3 (Upstream - Materials &amp; Transport)</w:t>
            </w:r>
          </w:p>
        </w:tc>
        <w:tc>
          <w:tcPr/>
          <w:p>
            <w:pPr>
              <w:pStyle w:val="Compact"/>
              <w:jc w:val="left"/>
            </w:pPr>
            <w:r>
              <w:t xml:space="preserve">3.4870</w:t>
            </w:r>
          </w:p>
        </w:tc>
        <w:tc>
          <w:tcPr/>
          <w:p>
            <w:pPr>
              <w:pStyle w:val="Compact"/>
              <w:jc w:val="left"/>
            </w:pPr>
            <w:r>
              <w:t xml:space="preserve">37.71%</w:t>
            </w:r>
          </w:p>
        </w:tc>
      </w:tr>
      <w:tr>
        <w:tc>
          <w:tcPr/>
          <w:p>
            <w:pPr>
              <w:pStyle w:val="Compact"/>
              <w:jc w:val="left"/>
            </w:pPr>
            <w:r>
              <w:t xml:space="preserve">Scope 3 (Downstream - Transport, Use, EoL)</w:t>
            </w:r>
          </w:p>
        </w:tc>
        <w:tc>
          <w:tcPr/>
          <w:p>
            <w:pPr>
              <w:pStyle w:val="Compact"/>
              <w:jc w:val="left"/>
            </w:pPr>
            <w:r>
              <w:t xml:space="preserve">6.0673</w:t>
            </w:r>
          </w:p>
        </w:tc>
        <w:tc>
          <w:tcPr/>
          <w:p>
            <w:pPr>
              <w:pStyle w:val="Compact"/>
              <w:jc w:val="left"/>
            </w:pPr>
            <w:r>
              <w:t xml:space="preserve">65.60%</w:t>
            </w:r>
          </w:p>
        </w:tc>
      </w:tr>
      <w:tr>
        <w:tc>
          <w:tcPr/>
          <w:p>
            <w:pPr>
              <w:pStyle w:val="Compact"/>
              <w:jc w:val="left"/>
            </w:pPr>
            <w:r>
              <w:rPr>
                <w:bCs/>
                <w:b/>
              </w:rPr>
              <w:t xml:space="preserve">TOTAL PCF</w:t>
            </w:r>
          </w:p>
        </w:tc>
        <w:tc>
          <w:tcPr/>
          <w:p>
            <w:pPr>
              <w:pStyle w:val="Compact"/>
              <w:jc w:val="left"/>
            </w:pPr>
            <w:r>
              <w:rPr>
                <w:bCs/>
                <w:b/>
              </w:rPr>
              <w:t xml:space="preserve">9.2550</w:t>
            </w:r>
          </w:p>
        </w:tc>
        <w:tc>
          <w:tcPr/>
          <w:p>
            <w:pPr>
              <w:pStyle w:val="Compact"/>
              <w:jc w:val="left"/>
            </w:pPr>
            <w:r>
              <w:rPr>
                <w:bCs/>
                <w:b/>
              </w:rPr>
              <w:t xml:space="preserve">100.00%</w:t>
            </w:r>
          </w:p>
        </w:tc>
      </w:tr>
    </w:tbl>
    <w:p>
      <w:pPr>
        <w:pStyle w:val="BodyText"/>
      </w:pPr>
      <w:r>
        <w:rPr>
          <w:iCs/>
          <w:i/>
        </w:rPr>
        <w:t xml:space="preserve">Note: The total percentage exceeds 100% due to the net negative emissions (savings) from the End-of-Life phase being presented as a component of Downstream Scope 3. When summed, these negative values accurately reflect the overall impact.</w:t>
      </w:r>
    </w:p>
    <w:p>
      <w:r>
        <w:pict>
          <v:rect style="width:0;height:1.5pt" o:hralign="center" o:hrstd="t" o:hr="t"/>
        </w:pict>
      </w:r>
    </w:p>
    <w:bookmarkEnd w:id="37"/>
    <w:bookmarkEnd w:id="38"/>
    <w:bookmarkEnd w:id="39"/>
    <w:bookmarkStart w:id="43"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The analysis identifies the following key emission hotspots for</w:t>
      </w:r>
      <w:r>
        <w:t xml:space="preserve"> </w:t>
      </w:r>
      <w:r>
        <w:rPr>
          <w:bCs/>
          <w:b/>
        </w:rPr>
        <w:t xml:space="preserve">qixnheqnmw</w:t>
      </w:r>
      <w:r>
        <w:t xml:space="preserve">:</w:t>
      </w:r>
    </w:p>
    <w:p>
      <w:pPr>
        <w:numPr>
          <w:ilvl w:val="0"/>
          <w:numId w:val="1020"/>
        </w:numPr>
        <w:pStyle w:val="Compact"/>
      </w:pPr>
      <w:r>
        <w:rPr>
          <w:bCs/>
          <w:b/>
        </w:rPr>
        <w:t xml:space="preserve">Use Phase (65.60% of total PCF):</w:t>
      </w:r>
      <w:r>
        <w:t xml:space="preserve"> </w:t>
      </w:r>
      <w:r>
        <w:t xml:space="preserve">This is the dominant hotspot due to the product\'s energy consumption over its 5-year lifespan in Europe. While the European grid mix is cleaner than China\'s, the accumulated energy use significantly contributes to the overall footprint.</w:t>
      </w:r>
    </w:p>
    <w:p>
      <w:pPr>
        <w:numPr>
          <w:ilvl w:val="0"/>
          <w:numId w:val="1020"/>
        </w:numPr>
        <w:pStyle w:val="Compact"/>
      </w:pPr>
      <w:r>
        <w:rPr>
          <w:bCs/>
          <w:b/>
        </w:rPr>
        <w:t xml:space="preserve">Upstream Materials (37.71% of total PCF):</w:t>
      </w:r>
      <w:r>
        <w:t xml:space="preserve"> </w:t>
      </w:r>
      <w:r>
        <w:t xml:space="preserve">The acquisition and processing of raw materials, particularly plastics and electronics components (e.g., Main Casing, Circuit Board, Battery), represent a substantial portion of the embodied emissions.</w:t>
      </w:r>
    </w:p>
    <w:p>
      <w:pPr>
        <w:numPr>
          <w:ilvl w:val="0"/>
          <w:numId w:val="1020"/>
        </w:numPr>
        <w:pStyle w:val="Compact"/>
      </w:pPr>
      <w:r>
        <w:rPr>
          <w:bCs/>
          <w:b/>
        </w:rPr>
        <w:t xml:space="preserve">Manufacturing Energy (4.33% of total PCF):</w:t>
      </w:r>
      <w:r>
        <w:t xml:space="preserve"> </w:t>
      </w:r>
      <w:r>
        <w:t xml:space="preserve">While</w:t>
      </w:r>
      <w:r>
        <w:t xml:space="preserve"> </w:t>
      </w:r>
      <w:r>
        <w:rPr>
          <w:bCs/>
          <w:b/>
        </w:rPr>
        <w:t xml:space="preserve">kxrygmnnfp</w:t>
      </w:r>
      <w:r>
        <w:t xml:space="preserve"> </w:t>
      </w:r>
      <w:r>
        <w:t xml:space="preserve">utilizes 40% renewable energy, the remaining grid electricity in China still contributes to emissions.</w:t>
      </w:r>
    </w:p>
    <w:p>
      <w:pPr>
        <w:numPr>
          <w:ilvl w:val="0"/>
          <w:numId w:val="1020"/>
        </w:numPr>
        <w:pStyle w:val="Compact"/>
      </w:pPr>
      <w:r>
        <w:rPr>
          <w:bCs/>
          <w:b/>
        </w:rPr>
        <w:t xml:space="preserve">Transportation (Upstream &amp; Downstream - combined within Scope 3 categories):</w:t>
      </w:r>
      <w:r>
        <w:t xml:space="preserve"> </w:t>
      </w:r>
      <w:r>
        <w:t xml:space="preserve">While individually smaller, the cumulative impact of global supply chain logistics is noteworthy.</w:t>
      </w:r>
    </w:p>
    <w:p>
      <w:pPr>
        <w:numPr>
          <w:ilvl w:val="0"/>
          <w:numId w:val="1020"/>
        </w:numPr>
        <w:pStyle w:val="Compact"/>
      </w:pPr>
      <w:r>
        <w:rPr>
          <w:bCs/>
          <w:b/>
        </w:rPr>
        <w:t xml:space="preserve">End-of-Life (Net Saving):</w:t>
      </w:r>
      <w:r>
        <w:t xml:space="preserve"> </w:t>
      </w:r>
      <w:r>
        <w:t xml:space="preserve">The high recyclability percentage and existing take-back programs demonstrate a net positive impact, indicating that more emissions are avoided through recycling than generated by waste disposal. This highlights the effectiveness of circular economy principles.</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use of a detailed Bill of Materials and adherence to the</w:t>
      </w:r>
      <w:r>
        <w:t xml:space="preserve"> </w:t>
      </w:r>
      <w:r>
        <w:rPr>
          <w:bCs/>
          <w:b/>
        </w:rPr>
        <w:t xml:space="preserve">GHG Protocol</w:t>
      </w:r>
      <w:r>
        <w:t xml:space="preserve">. However, certain limitations and assumptions should be noted:</w:t>
      </w:r>
    </w:p>
    <w:p>
      <w:pPr>
        <w:numPr>
          <w:ilvl w:val="0"/>
          <w:numId w:val="1021"/>
        </w:numPr>
        <w:pStyle w:val="Compact"/>
      </w:pPr>
      <w:r>
        <w:rPr>
          <w:bCs/>
          <w:b/>
        </w:rPr>
        <w:t xml:space="preserve">Secondary Data:</w:t>
      </w:r>
      <w:r>
        <w:t xml:space="preserve"> </w:t>
      </w:r>
      <w:r>
        <w:t xml:space="preserve">While industry-standard emission factors from reputable sources (e.g., MEE, Climatiq, EEA, generalized DEFRA/Ecoinvent principles) have been used, primary data for all upstream processes (e.g., specific supplier energy mix, exact transport routes for all components) were not available.</w:t>
      </w:r>
    </w:p>
    <w:p>
      <w:pPr>
        <w:numPr>
          <w:ilvl w:val="0"/>
          <w:numId w:val="1021"/>
        </w:numPr>
        <w:pStyle w:val="Compact"/>
      </w:pPr>
      <w:r>
        <w:rPr>
          <w:bCs/>
          <w:b/>
        </w:rPr>
        <w:t xml:space="preserve">Illustrative Factors:</w:t>
      </w:r>
      <w:r>
        <w:t xml:space="preserve"> </w:t>
      </w:r>
      <w:r>
        <w:t xml:space="preserve">Some emission factors for transport and end-of-life scenarios are illustrative averages used to provide a reasonable estimate where specific primary data was not provided.</w:t>
      </w:r>
    </w:p>
    <w:p>
      <w:pPr>
        <w:numPr>
          <w:ilvl w:val="0"/>
          <w:numId w:val="1021"/>
        </w:numPr>
        <w:pStyle w:val="Compact"/>
      </w:pPr>
      <w:r>
        <w:rPr>
          <w:bCs/>
          <w:b/>
        </w:rPr>
        <w:t xml:space="preserve">LSR Standard Implementation:</w:t>
      </w:r>
      <w:r>
        <w:t xml:space="preserve"> </w:t>
      </w:r>
      <w:r>
        <w:t xml:space="preserve">While the 2026 LSR Standard is acknowledged, its full implementation guidance is forthcoming in Q2 2026, meaning detailed land-use emission accounting may evolve.</w:t>
      </w:r>
    </w:p>
    <w:p>
      <w:pPr>
        <w:numPr>
          <w:ilvl w:val="0"/>
          <w:numId w:val="1021"/>
        </w:numPr>
        <w:pStyle w:val="Compact"/>
      </w:pPr>
      <w:r>
        <w:rPr>
          <w:bCs/>
          <w:b/>
        </w:rPr>
        <w:t xml:space="preserve">Scope 3 Coverage:</w:t>
      </w:r>
      <w:r>
        <w:t xml:space="preserve"> </w:t>
      </w:r>
      <w:r>
        <w:t xml:space="preserve">While a 95% Scope 3 coverage target is met through detailed calculations for significant categories, minor categories (e.g., employee commuting, business travel by suppliers not directly linked to product) may be estimated or excluded if deemed immaterial after screening.</w:t>
      </w:r>
    </w:p>
    <w:bookmarkEnd w:id="41"/>
    <w:bookmarkStart w:id="42" w:name="recommendations-for-emission-reduction"/>
    <w:p>
      <w:pPr>
        <w:pStyle w:val="Heading3"/>
      </w:pPr>
      <w:r>
        <w:t xml:space="preserve">Recommendations for Emission Reduction</w:t>
      </w:r>
    </w:p>
    <w:p>
      <w:pPr>
        <w:pStyle w:val="FirstParagraph"/>
      </w:pPr>
      <w:r>
        <w:t xml:space="preserve">Based on this analysis,</w:t>
      </w:r>
      <w:r>
        <w:t xml:space="preserve"> </w:t>
      </w:r>
      <w:r>
        <w:rPr>
          <w:bCs/>
          <w:b/>
        </w:rPr>
        <w:t xml:space="preserve">kxrygmnnfp</w:t>
      </w:r>
      <w:r>
        <w:t xml:space="preserve"> </w:t>
      </w:r>
      <w:r>
        <w:t xml:space="preserve">should focus on the following areas to reduce the PCF of</w:t>
      </w:r>
      <w:r>
        <w:t xml:space="preserve"> </w:t>
      </w:r>
      <w:r>
        <w:rPr>
          <w:bCs/>
          <w:b/>
        </w:rPr>
        <w:t xml:space="preserve">qixnheqnmw</w:t>
      </w:r>
      <w:r>
        <w:t xml:space="preserve">:</w:t>
      </w:r>
    </w:p>
    <w:p>
      <w:pPr>
        <w:numPr>
          <w:ilvl w:val="0"/>
          <w:numId w:val="1022"/>
        </w:numPr>
        <w:pStyle w:val="Compact"/>
      </w:pPr>
      <w:r>
        <w:rPr>
          <w:bCs/>
          <w:b/>
        </w:rPr>
        <w:t xml:space="preserve">Optimize Use Phase:</w:t>
      </w:r>
    </w:p>
    <w:p>
      <w:pPr>
        <w:numPr>
          <w:ilvl w:val="1"/>
          <w:numId w:val="1023"/>
        </w:numPr>
        <w:pStyle w:val="Compact"/>
      </w:pPr>
      <w:r>
        <w:t xml:space="preserve">Explore opportunities to reduce the product\'s energy consumption during its use phase. This could involve design changes for higher energy efficiency or providing guidance to users on sustainable usage.</w:t>
      </w:r>
    </w:p>
    <w:p>
      <w:pPr>
        <w:numPr>
          <w:ilvl w:val="1"/>
          <w:numId w:val="1023"/>
        </w:numPr>
        <w:pStyle w:val="Compact"/>
      </w:pPr>
      <w:r>
        <w:t xml:space="preserve">Investigate product-as-a-service models or extended warranties to prolong product lifespan and defer end-of-life.</w:t>
      </w:r>
    </w:p>
    <w:p>
      <w:pPr>
        <w:numPr>
          <w:ilvl w:val="0"/>
          <w:numId w:val="1022"/>
        </w:numPr>
        <w:pStyle w:val="Compact"/>
      </w:pPr>
      <w:r>
        <w:rPr>
          <w:bCs/>
          <w:b/>
        </w:rPr>
        <w:t xml:space="preserve">Sustainable Material Sourcing:</w:t>
      </w:r>
    </w:p>
    <w:p>
      <w:pPr>
        <w:numPr>
          <w:ilvl w:val="1"/>
          <w:numId w:val="1024"/>
        </w:numPr>
        <w:pStyle w:val="Compact"/>
      </w:pPr>
      <w:r>
        <w:t xml:space="preserve">Engage with suppliers to source lower-carbon alternatives for key materials, especially plastics and electronics, or increase the use of recycled content in components.</w:t>
      </w:r>
    </w:p>
    <w:p>
      <w:pPr>
        <w:numPr>
          <w:ilvl w:val="1"/>
          <w:numId w:val="1024"/>
        </w:numPr>
        <w:pStyle w:val="Compact"/>
      </w:pPr>
      <w:r>
        <w:t xml:space="preserve">Further analyze the carbon intensity of specific material manufacturing processes within the BOM to target high-impact components.</w:t>
      </w:r>
    </w:p>
    <w:p>
      <w:pPr>
        <w:numPr>
          <w:ilvl w:val="0"/>
          <w:numId w:val="1022"/>
        </w:numPr>
        <w:pStyle w:val="Compact"/>
      </w:pPr>
      <w:r>
        <w:rPr>
          <w:bCs/>
          <w:b/>
        </w:rPr>
        <w:t xml:space="preserve">Increase Renewable Energy in Production:</w:t>
      </w:r>
    </w:p>
    <w:p>
      <w:pPr>
        <w:numPr>
          <w:ilvl w:val="1"/>
          <w:numId w:val="1025"/>
        </w:numPr>
        <w:pStyle w:val="Compact"/>
      </w:pPr>
      <w:r>
        <w:t xml:space="preserve">Continue to increase the percentage of renewable energy used at the China production facility, potentially through on-site generation or Power Purchase Agreements (PPAs) with renewable energy providers.</w:t>
      </w:r>
    </w:p>
    <w:p>
      <w:pPr>
        <w:numPr>
          <w:ilvl w:val="0"/>
          <w:numId w:val="1022"/>
        </w:numPr>
        <w:pStyle w:val="Compact"/>
      </w:pPr>
      <w:r>
        <w:rPr>
          <w:bCs/>
          <w:b/>
        </w:rPr>
        <w:t xml:space="preserve">Enhance Circularity &amp; Take-back Programs:</w:t>
      </w:r>
    </w:p>
    <w:p>
      <w:pPr>
        <w:numPr>
          <w:ilvl w:val="1"/>
          <w:numId w:val="1026"/>
        </w:numPr>
        <w:pStyle w:val="Compact"/>
      </w:pPr>
      <w:r>
        <w:t xml:space="preserve">Expand the pilot product take-back and refurbishment program. Robust circular economy initiatives can significantly increase avoided emissions.</w:t>
      </w:r>
    </w:p>
    <w:p>
      <w:pPr>
        <w:numPr>
          <w:ilvl w:val="1"/>
          <w:numId w:val="1026"/>
        </w:numPr>
        <w:pStyle w:val="Compact"/>
      </w:pPr>
      <w:r>
        <w:t xml:space="preserve">Explore design for disassembly and repairability to facilitate higher recycling rates and component reuse.</w:t>
      </w:r>
    </w:p>
    <w:p>
      <w:pPr>
        <w:numPr>
          <w:ilvl w:val="0"/>
          <w:numId w:val="1022"/>
        </w:numPr>
        <w:pStyle w:val="Compact"/>
      </w:pPr>
      <w:r>
        <w:rPr>
          <w:bCs/>
          <w:b/>
        </w:rPr>
        <w:t xml:space="preserve">Logistics Optimization:</w:t>
      </w:r>
    </w:p>
    <w:p>
      <w:pPr>
        <w:numPr>
          <w:ilvl w:val="1"/>
          <w:numId w:val="1027"/>
        </w:numPr>
        <w:pStyle w:val="Compact"/>
      </w:pPr>
      <w:r>
        <w:t xml:space="preserve">Review upstream and downstream transportation networks for efficiency gains, such as optimizing routes, increasing load factors, and exploring lower-emission transport modes (e.g., rail for longer distances, electric vehicles for last-mile).</w:t>
      </w:r>
    </w:p>
    <w:p>
      <w:r>
        <w:pict>
          <v:rect style="width:0;height:1.5pt" o:hralign="center" o:hrstd="t" o:hr="t"/>
        </w:pict>
      </w:r>
    </w:p>
    <w:bookmarkEnd w:id="42"/>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qixnheqnmw</dc:title>
  <dc:creator/>
  <dc:description>Detailed Product Carbon Footprint (PCF) analysis report for product qixnheqnmw, performed by Senior Sustainability Consultant vtjohzuhhe for kxrygmnnfp, adhering to GHG Protocol and 2026 LSR Update.</dc:description>
  <dc:language>en</dc:language>
  <cp:keywords/>
  <dcterms:created xsi:type="dcterms:W3CDTF">2026-07-15T09:17:07Z</dcterms:created>
  <dcterms:modified xsi:type="dcterms:W3CDTF">2026-07-15T09:17:07Z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