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qgngunglvi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qgngunglvi</w:t>
      </w:r>
    </w:p>
    <w:p>
      <w:pPr>
        <w:pStyle w:val="BodyText"/>
      </w:pPr>
      <w:r>
        <w:rPr>
          <w:bCs/>
          <w:b/>
        </w:rPr>
        <w:t xml:space="preserve">Company Name:</w:t>
      </w:r>
      <w:r>
        <w:t xml:space="preserve"> </w:t>
      </w:r>
      <w:r>
        <w:t xml:space="preserve">pxfpsoxomo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ywxnlwzwin</w:t>
      </w:r>
    </w:p>
    <w:p>
      <w:pPr>
        <w:pStyle w:val="BodyText"/>
      </w:pPr>
      <w:r>
        <w:t xml:space="preserve">This report is generated based on available data and industry standards. Specific parameter values are illustrative where raw data was provided as placeholders.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qgngunglvi, manufactured by pxfpsoxomo. As Senior Sustainability Consultant ywxnlwzwin, this analysis adheres strictly to the Greenhouse Gas (GHG) Protocol, incorporating the latest 2026 Land Sector and Removals (LSR) Standard update and aiming for at least 95% Scope 3 coverage. The primary goal is to quantify the lifecycle greenhouse gas emissions of qgngunglvi, identify emission hotspots, and provide actionable insights for emission reduction strategies. The analysis covers raw material acquisition, manufacturing, transport, use phase, and end-of-life, utilizing specific data for Bill of Materials, energy consumption, and circularity aspects.</w:t>
      </w:r>
    </w:p>
    <w:p>
      <w:r>
        <w:pict>
          <v:rect style="width:0;height:1.5pt" o:hralign="center" o:hrstd="t" o:hr="t"/>
        </w:pict>
      </w:r>
    </w:p>
    <w:bookmarkEnd w:id="22"/>
    <w:bookmarkStart w:id="23" w:name="methodology"/>
    <w:p>
      <w:pPr>
        <w:pStyle w:val="Heading2"/>
      </w:pPr>
      <w:r>
        <w:t xml:space="preserve">1. Methodology</w:t>
      </w:r>
    </w:p>
    <w:p>
      <w:pPr>
        <w:pStyle w:val="FirstParagraph"/>
      </w:pPr>
      <w:r>
        <w:t xml:space="preserve">The Product Carbon Footprint (PCF) analysis for qgngunglvi follows a five-step methodology aligned with the GHG Protocol Product Standard:</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qgngunglvi. This unit provides a reference basis for quantifying inputs and outputs throughout the product lifecycle.</w:t>
      </w:r>
    </w:p>
    <w:p>
      <w:pPr>
        <w:numPr>
          <w:ilvl w:val="1"/>
          <w:numId w:val="1002"/>
        </w:numPr>
        <w:pStyle w:val="Compact"/>
      </w:pPr>
      <w:r>
        <w:rPr>
          <w:bCs/>
          <w:b/>
        </w:rPr>
        <w:t xml:space="preserve">System Boundaries:</w:t>
      </w:r>
      <w:r>
        <w:t xml:space="preserve"> </w:t>
      </w:r>
      <w:r>
        <w:t xml:space="preserve">A "cradle-to-grave" approach is adopted, encompassing all stages from raw material extraction to end-of-life disposal or recycling. While the parameter specified "factory_gate" for a system boundary, for a comprehensive PCF as requested, the analysis extends beyond the factory gate to include downstream impacts (use phase, end-of-life) in line with the detailed parameters provided for these stages. The "factory_gate" is considered the boundary for direct manufacturing emissions.</w:t>
      </w:r>
    </w:p>
    <w:p>
      <w:pPr>
        <w:numPr>
          <w:ilvl w:val="1"/>
          <w:numId w:val="1002"/>
        </w:numPr>
        <w:pStyle w:val="Compact"/>
      </w:pPr>
      <w:r>
        <w:rPr>
          <w:bCs/>
          <w:b/>
        </w:rPr>
        <w:t xml:space="preserve">Geographic Scope:</w:t>
      </w:r>
      <w:r>
        <w:t xml:space="preserve"> </w:t>
      </w:r>
      <w:r>
        <w:t xml:space="preserve">Final production country is China, with a supply chain focus on Europe. Use phase is assumed to be primarily in Europe.</w:t>
      </w:r>
    </w:p>
    <w:p>
      <w:pPr>
        <w:numPr>
          <w:ilvl w:val="1"/>
          <w:numId w:val="1002"/>
        </w:numPr>
        <w:pStyle w:val="Compact"/>
      </w:pPr>
      <w:r>
        <w:rPr>
          <w:bCs/>
          <w:b/>
        </w:rPr>
        <w:t xml:space="preserve">Allocation:</w:t>
      </w:r>
      <w:r>
        <w:t xml:space="preserve"> </w:t>
      </w:r>
      <w:r>
        <w:t xml:space="preserve">Emissions are allocated directly to the functional unit. In cases of co-production or recycling benefits, mass-based or avoided burden allocation methods would be applied.</w:t>
      </w:r>
    </w:p>
    <w:p>
      <w:pPr>
        <w:numPr>
          <w:ilvl w:val="0"/>
          <w:numId w:val="1001"/>
        </w:numPr>
      </w:pPr>
      <w:r>
        <w:rPr>
          <w:bCs/>
          <w:b/>
        </w:rPr>
        <w:t xml:space="preserve">Map Lifecycle (LCI inventory stages):</w:t>
      </w:r>
    </w:p>
    <w:p>
      <w:pPr>
        <w:numPr>
          <w:ilvl w:val="0"/>
          <w:numId w:val="1000"/>
        </w:numPr>
      </w:pPr>
      <w:r>
        <w:t xml:space="preserve">The lifecycle of qgngunglvi is mapped into the following stages:</w:t>
      </w:r>
    </w:p>
    <w:p>
      <w:pPr>
        <w:numPr>
          <w:ilvl w:val="1"/>
          <w:numId w:val="1003"/>
        </w:numPr>
        <w:pStyle w:val="Compact"/>
      </w:pPr>
      <w:r>
        <w:t xml:space="preserve">Raw Material Acquisition &amp; Pre-processing</w:t>
      </w:r>
    </w:p>
    <w:p>
      <w:pPr>
        <w:numPr>
          <w:ilvl w:val="1"/>
          <w:numId w:val="1003"/>
        </w:numPr>
        <w:pStyle w:val="Compact"/>
      </w:pPr>
      <w:r>
        <w:t xml:space="preserve">Manufacturing (Production)</w:t>
      </w:r>
    </w:p>
    <w:p>
      <w:pPr>
        <w:numPr>
          <w:ilvl w:val="1"/>
          <w:numId w:val="1003"/>
        </w:numPr>
        <w:pStyle w:val="Compact"/>
      </w:pPr>
      <w:r>
        <w:t xml:space="preserve">Transportation (Upstream &amp; Downstream)</w:t>
      </w:r>
    </w:p>
    <w:p>
      <w:pPr>
        <w:numPr>
          <w:ilvl w:val="1"/>
          <w:numId w:val="1003"/>
        </w:numPr>
        <w:pStyle w:val="Compact"/>
      </w:pPr>
      <w:r>
        <w:t xml:space="preserve">Use Phase</w:t>
      </w:r>
    </w:p>
    <w:p>
      <w:pPr>
        <w:numPr>
          <w:ilvl w:val="1"/>
          <w:numId w:val="1003"/>
        </w:numPr>
        <w:pStyle w:val="Compact"/>
      </w:pPr>
      <w:r>
        <w:t xml:space="preserve">End-of-Life Treatment</w:t>
      </w:r>
    </w:p>
    <w:p>
      <w:pPr>
        <w:numPr>
          <w:ilvl w:val="0"/>
          <w:numId w:val="1001"/>
        </w:numPr>
      </w:pPr>
      <w:r>
        <w:rPr>
          <w:bCs/>
          <w:b/>
        </w:rPr>
        <w:t xml:space="preserve">Collect Data (Primary/Secondary data points):</w:t>
      </w:r>
    </w:p>
    <w:p>
      <w:pPr>
        <w:numPr>
          <w:ilvl w:val="0"/>
          <w:numId w:val="1000"/>
        </w:numPr>
      </w:pPr>
      <w:r>
        <w:t xml:space="preserve">Data collection prioritizes primary data where available and uses high-quality secondary (e.g., industry average) data for gaps. Key data points include detailed Bill of Materials, energy consumption, transport distances, and end-of-life scenarios.</w:t>
      </w:r>
    </w:p>
    <w:p>
      <w:pPr>
        <w:numPr>
          <w:ilvl w:val="0"/>
          <w:numId w:val="1001"/>
        </w:numPr>
      </w:pPr>
      <w:r>
        <w:rPr>
          <w:bCs/>
          <w:b/>
        </w:rPr>
        <w:t xml:space="preserve">Calculate Emissions (Activity * Emission Factor = CO2e):</w:t>
      </w:r>
    </w:p>
    <w:p>
      <w:pPr>
        <w:numPr>
          <w:ilvl w:val="0"/>
          <w:numId w:val="1000"/>
        </w:numPr>
      </w:pPr>
      <w:r>
        <w:t xml:space="preserve">Greenhouse gas emissions are calculated by multiplying activity data (e.g., kg of material, kWh of energy, tonne-km of transport) by corresponding emission factors (CO2e per unit of activity). Emission factors are sourced from recognized databases like Ecoinvent and DEFRA, or other industry-standard references where specified. Emissions are categorized into Scope 1, 2, and 3 according to the GHG Protocol.</w:t>
      </w:r>
    </w:p>
    <w:p>
      <w:pPr>
        <w:numPr>
          <w:ilvl w:val="0"/>
          <w:numId w:val="1001"/>
        </w:numPr>
      </w:pPr>
      <w:r>
        <w:rPr>
          <w:bCs/>
          <w:b/>
        </w:rPr>
        <w:t xml:space="preserve">Review &amp; Report (Hotspots and reliability):</w:t>
      </w:r>
    </w:p>
    <w:p>
      <w:pPr>
        <w:numPr>
          <w:ilvl w:val="0"/>
          <w:numId w:val="1000"/>
        </w:numPr>
      </w:pPr>
      <w:r>
        <w:t xml:space="preserve">The final step involves reviewing the calculated emissions for accuracy and completeness, identifying significant emission hotspots, and providing transparent reporting alongside recommendations for reduction.</w:t>
      </w:r>
    </w:p>
    <w:p>
      <w:r>
        <w:pict>
          <v:rect style="width:0;height:1.5pt" o:hralign="center" o:hrstd="t" o:hr="t"/>
        </w:pict>
      </w:r>
    </w:p>
    <w:bookmarkEnd w:id="23"/>
    <w:bookmarkStart w:id="27" w:name="scope-definition-and-accounting-standard"/>
    <w:p>
      <w:pPr>
        <w:pStyle w:val="Heading2"/>
      </w:pPr>
      <w:r>
        <w:t xml:space="preserve">2. Scope Definition and Accounting Standard</w:t>
      </w:r>
    </w:p>
    <w:p>
      <w:pPr>
        <w:pStyle w:val="FirstParagraph"/>
      </w:pPr>
      <w:r>
        <w:t xml:space="preserve">This Product Carbon Footprint analysis for qgngunglvi strictly adheres to the</w:t>
      </w:r>
      <w:r>
        <w:t xml:space="preserve"> </w:t>
      </w:r>
      <w:r>
        <w:rPr>
          <w:bCs/>
          <w:b/>
        </w:rPr>
        <w:t xml:space="preserve">GHG Protocol Product Life Cycle Accounting and Reporting Standard</w:t>
      </w:r>
      <w:r>
        <w:t xml:space="preserve">. This standard provides a robust framework for assessing the full lifecycle greenhouse gas emissions of a product.</w:t>
      </w:r>
    </w:p>
    <w:bookmarkStart w:id="24" w:name="ghg-protocol-scopes"/>
    <w:p>
      <w:pPr>
        <w:pStyle w:val="Heading3"/>
      </w:pPr>
      <w:r>
        <w:t xml:space="preserve">2.1. GHG Protocol Scopes</w:t>
      </w:r>
    </w:p>
    <w:p>
      <w:pPr>
        <w:numPr>
          <w:ilvl w:val="0"/>
          <w:numId w:val="1004"/>
        </w:numPr>
        <w:pStyle w:val="Compact"/>
      </w:pPr>
      <w:r>
        <w:rPr>
          <w:bCs/>
          <w:b/>
        </w:rPr>
        <w:t xml:space="preserve">Scope 1: Direct GHG Emissions</w:t>
      </w:r>
      <w:r>
        <w:t xml:space="preserve"> </w:t>
      </w:r>
      <w:r>
        <w:t xml:space="preserve">- Emissions from sources owned or controlled by pxfpsoxomo (e.g., direct combustion in owned boilers, furnaces, or vehicles).</w:t>
      </w:r>
    </w:p>
    <w:p>
      <w:pPr>
        <w:numPr>
          <w:ilvl w:val="0"/>
          <w:numId w:val="1004"/>
        </w:numPr>
        <w:pStyle w:val="Compact"/>
      </w:pPr>
      <w:r>
        <w:rPr>
          <w:bCs/>
          <w:b/>
        </w:rPr>
        <w:t xml:space="preserve">Scope 2: Indirect GHG Emissions from Purchased Energy</w:t>
      </w:r>
      <w:r>
        <w:t xml:space="preserve"> </w:t>
      </w:r>
      <w:r>
        <w:t xml:space="preserve">- Emissions from the generation of purchased electricity, heat, or steam consumed by pxfpsoxomo.</w:t>
      </w:r>
    </w:p>
    <w:p>
      <w:pPr>
        <w:numPr>
          <w:ilvl w:val="0"/>
          <w:numId w:val="1004"/>
        </w:numPr>
        <w:pStyle w:val="Compact"/>
      </w:pPr>
      <w:r>
        <w:rPr>
          <w:bCs/>
          <w:b/>
        </w:rPr>
        <w:t xml:space="preserve">Scope 3: Other Indirect GHG Emissions</w:t>
      </w:r>
      <w:r>
        <w:t xml:space="preserve"> </w:t>
      </w:r>
      <w:r>
        <w:t xml:space="preserve">- All other indirect emissions occurring in the value chain of qgngunglvi, both upstream and downstream. For many companies, Scope 3 typically represents the majority of the total carbon footprint, often accounting for 70-90%.</w:t>
      </w:r>
    </w:p>
    <w:bookmarkEnd w:id="24"/>
    <w:bookmarkStart w:id="25" w:name="X504f4a86e01fdcfa46a4589bb1b5e0cfaad8629"/>
    <w:p>
      <w:pPr>
        <w:pStyle w:val="Heading3"/>
      </w:pPr>
      <w:r>
        <w:t xml:space="preserve">2.2. 2026 Land Sector and Removals (LSR) Standard Update</w:t>
      </w:r>
    </w:p>
    <w:p>
      <w:pPr>
        <w:pStyle w:val="FirstParagraph"/>
      </w:pPr>
      <w:r>
        <w:t xml:space="preserve">The Land Sector and Removals (LSR) Standard, released by the GHG Protocol on January 30, 2026, and effective January 1, 2027, is applied in this analysis. This standard provides accounting requirements and guidance for companies to quantify, report, and track land emissions, CO₂ removals, and other key metrics. It is particularly relevant for entities with significant land sector activities or those choosing to report CO₂ removals. While detailed land-use change data for the raw materials of qgngunglvi is not provided in the parameters, the framework for assessing land management, land use change, biogenic products, and technological CO₂ removals has been considered. The accompanying guidance for the LSR Standard is expected in Q2 2026, which will provide more practical direction.</w:t>
      </w:r>
    </w:p>
    <w:bookmarkEnd w:id="25"/>
    <w:bookmarkStart w:id="26" w:name="scope-3-compliance-95-coverage"/>
    <w:p>
      <w:pPr>
        <w:pStyle w:val="Heading3"/>
      </w:pPr>
      <w:r>
        <w:t xml:space="preserve">2.3. Scope 3 Compliance (95% Coverage)</w:t>
      </w:r>
    </w:p>
    <w:p>
      <w:pPr>
        <w:pStyle w:val="FirstParagraph"/>
      </w:pPr>
      <w:r>
        <w:t xml:space="preserve">As per the 2026 requirements, this report aims to ensure at least 95% coverage for Scope 3 emissions. This prescriptive completeness requirement mandates that companies account for and report at least 95% of total required Scope 3 emissions, with exclusions not exceeding 5% of required Scope 3 emissions. This pushes towards improved data quality and transparency by requiring disaggregation of Scope 3 emissions by data type (primary vs. secondary) and disclosure of verification status. Efforts were made to incorporate comprehensive data across the value chain to meet this stringent requirement.</w:t>
      </w:r>
    </w:p>
    <w:p>
      <w:r>
        <w:pict>
          <v:rect style="width:0;height:1.5pt" o:hralign="center" o:hrstd="t" o:hr="t"/>
        </w:pict>
      </w:r>
    </w:p>
    <w:bookmarkEnd w:id="26"/>
    <w:bookmarkEnd w:id="27"/>
    <w:bookmarkStart w:id="33" w:name="Xfb19d101eca9f89879e43a035837baa721eebe8"/>
    <w:p>
      <w:pPr>
        <w:pStyle w:val="Heading2"/>
      </w:pPr>
      <w:r>
        <w:t xml:space="preserve">3. Lifecycle Inventory Mapping and Data Collection</w:t>
      </w:r>
    </w:p>
    <w:p>
      <w:pPr>
        <w:pStyle w:val="FirstParagraph"/>
      </w:pPr>
      <w:r>
        <w:t xml:space="preserve">This section details the inputs and outputs for each lifecycle stage of qgngunglvi, based on the provided parameters and illustrative industry data where specific values for placeholders were required for calculation.</w:t>
      </w:r>
    </w:p>
    <w:bookmarkStart w:id="28" w:name="Xcb4e91e5d04140464d5ba8f64f191f9e5e46abd"/>
    <w:p>
      <w:pPr>
        <w:pStyle w:val="Heading3"/>
      </w:pPr>
      <w:r>
        <w:t xml:space="preserve">3.1. Detailed Bill of Materials (BOM): inwupmdj (Illustrative Data)</w:t>
      </w:r>
    </w:p>
    <w:p>
      <w:pPr>
        <w:pStyle w:val="FirstParagraph"/>
      </w:pPr>
      <w:r>
        <w:t xml:space="preserve">The provided parameter \'inwupmdj\' is a placeholder for detailed BOM data. For the purpose of this high-detail analysis and calculation demonstration, an illustrative Bill of Materials (BOM) has been constructed using typical components for an electronic product like \'qgngunglvi\', along with representative emission factors. These factors are derived from industry databases (e.g., Ecoinvent, Climatiq) and are considered cradle-to-gate unless otherwise specified.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3.125311 (Virgin ABS, Europe)</w:t>
            </w:r>
          </w:p>
        </w:tc>
        <w:tc>
          <w:tcPr/>
          <w:p>
            <w:pPr>
              <w:pStyle w:val="Compact"/>
              <w:jc w:val="left"/>
            </w:pPr>
            <w:r>
              <w:t xml:space="preserve">0.781</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10.0 (Illustrative, complex assembly)</w:t>
            </w:r>
          </w:p>
        </w:tc>
        <w:tc>
          <w:tcPr/>
          <w:p>
            <w:pPr>
              <w:pStyle w:val="Compact"/>
              <w:jc w:val="left"/>
            </w:pPr>
            <w:r>
              <w:t xml:space="preserve">0.800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3.524 (Copper, Germany)</w:t>
            </w:r>
          </w:p>
        </w:tc>
        <w:tc>
          <w:tcPr/>
          <w:p>
            <w:pPr>
              <w:pStyle w:val="Compact"/>
              <w:jc w:val="left"/>
            </w:pPr>
            <w:r>
              <w:t xml:space="preserve">0.070</w:t>
            </w:r>
          </w:p>
        </w:tc>
      </w:tr>
      <w:tr>
        <w:tc>
          <w:tcPr/>
          <w:p>
            <w:pPr>
              <w:pStyle w:val="Compact"/>
              <w:jc w:val="left"/>
            </w:pPr>
            <w:r>
              <w:t xml:space="preserve">M004</w:t>
            </w:r>
          </w:p>
        </w:tc>
        <w:tc>
          <w:tcPr/>
          <w:p>
            <w:pPr>
              <w:pStyle w:val="Compact"/>
              <w:jc w:val="left"/>
            </w:pPr>
            <w:r>
              <w:t xml:space="preserve">Aluminium Heat Sink</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1.319 (Aluminium cast, Worldwide)</w:t>
            </w:r>
          </w:p>
        </w:tc>
        <w:tc>
          <w:tcPr/>
          <w:p>
            <w:pPr>
              <w:pStyle w:val="Compact"/>
              <w:jc w:val="left"/>
            </w:pPr>
            <w:r>
              <w:t xml:space="preserve">0.066</w:t>
            </w:r>
          </w:p>
        </w:tc>
      </w:tr>
      <w:tr>
        <w:tc>
          <w:tcPr/>
          <w:p>
            <w:pPr>
              <w:pStyle w:val="Compact"/>
              <w:jc w:val="left"/>
            </w:pPr>
            <w:r>
              <w:t xml:space="preserve">M005</w:t>
            </w:r>
          </w:p>
        </w:tc>
        <w:tc>
          <w:tcPr/>
          <w:p>
            <w:pPr>
              <w:pStyle w:val="Compact"/>
              <w:jc w:val="left"/>
            </w:pPr>
            <w:r>
              <w:t xml:space="preserve">Electronic Components (chipsets, resistors)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20.0 (Illustrative, high-tech components)</w:t>
            </w:r>
          </w:p>
        </w:tc>
        <w:tc>
          <w:tcPr/>
          <w:p>
            <w:pPr>
              <w:pStyle w:val="Compact"/>
              <w:jc w:val="left"/>
            </w:pPr>
            <w:r>
              <w:t xml:space="preserve">2.000</w:t>
            </w:r>
          </w:p>
        </w:tc>
      </w:tr>
      <w:tr>
        <w:tc>
          <w:tcPr/>
          <w:p>
            <w:pPr>
              <w:pStyle w:val="Compact"/>
              <w:jc w:val="left"/>
            </w:pPr>
            <w:r>
              <w:t xml:space="preserve">M006</w:t>
            </w:r>
          </w:p>
        </w:tc>
        <w:tc>
          <w:tcPr/>
          <w:p>
            <w:pPr>
              <w:pStyle w:val="Compact"/>
              <w:jc w:val="left"/>
            </w:pPr>
            <w:r>
              <w:t xml:space="preserve">Packaging (Corrugated Cardboard)</w:t>
            </w:r>
          </w:p>
        </w:tc>
        <w:tc>
          <w:tcPr/>
          <w:p>
            <w:pPr>
              <w:pStyle w:val="Compact"/>
              <w:jc w:val="left"/>
            </w:pPr>
            <w:r>
              <w:t xml:space="preserve">Paper/Pulp</w:t>
            </w:r>
          </w:p>
        </w:tc>
        <w:tc>
          <w:tcPr/>
          <w:p>
            <w:pPr>
              <w:pStyle w:val="Compact"/>
              <w:jc w:val="left"/>
            </w:pPr>
            <w:r>
              <w:t xml:space="preserve">Processing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1.14 (Virgin Corrugated Cardboard, average)</w:t>
            </w:r>
          </w:p>
        </w:tc>
        <w:tc>
          <w:tcPr/>
          <w:p>
            <w:pPr>
              <w:pStyle w:val="Compact"/>
              <w:jc w:val="left"/>
            </w:pPr>
            <w:r>
              <w:t xml:space="preserve">0.171</w:t>
            </w:r>
          </w:p>
        </w:tc>
      </w:tr>
      <w:tr>
        <w:tc>
          <w:tcPr>
            <w:gridSpan w:val="7"/>
          </w:tcPr>
          <w:p>
            <w:pPr>
              <w:pStyle w:val="Compact"/>
              <w:jc w:val="right"/>
            </w:pPr>
            <w:r>
              <w:rPr>
                <w:bCs/>
                <w:b/>
              </w:rPr>
              <w:t xml:space="preserve">Total Raw Material &amp; Pre-processing Emissions (Illustrative)</w:t>
            </w:r>
          </w:p>
        </w:tc>
        <w:tc>
          <w:tcPr/>
          <w:p>
            <w:pPr>
              <w:pStyle w:val="Compact"/>
              <w:jc w:val="left"/>
            </w:pPr>
            <w:r>
              <w:rPr>
                <w:bCs/>
                <w:b/>
              </w:rPr>
              <w:t xml:space="preserve">3.888 kgCO2e</w:t>
            </w:r>
          </w:p>
        </w:tc>
      </w:tr>
    </w:tbl>
    <w:p>
      <w:pPr>
        <w:pStyle w:val="BodyText"/>
      </w:pPr>
      <w:r>
        <w:t xml:space="preserve">*Note: Emission factors for ABS, Copper, Aluminium, and Cardboard are based on referenced sources. PCB and Electronic Components emission factors are illustrative due to the generic nature of the product description \'qgngunglvi\' and are representative of complex electronics. Total carbon is calculated as Qty * Emission Factor.</w:t>
      </w:r>
    </w:p>
    <w:bookmarkEnd w:id="28"/>
    <w:bookmarkStart w:id="29" w:name="Xc3dea9b05f7ce97678b486aa9ee308c7d0bdbcb"/>
    <w:p>
      <w:pPr>
        <w:pStyle w:val="Heading3"/>
      </w:pPr>
      <w:r>
        <w:t xml:space="preserve">3.2. Transport Mode and Distance: Select Mode, fsrdnwiwwd (Illustrative Data)</w:t>
      </w:r>
    </w:p>
    <w:p>
      <w:pPr>
        <w:pStyle w:val="FirstParagraph"/>
      </w:pPr>
      <w:r>
        <w:t xml:space="preserve">The transport parameters are placeholders. Given the geographic scope (production in China, supply chain focus Europe, and implied global distribution), the following illustrative transport modes and distances are assumed for a product weighing approximately 0.7 kg (total of illustrative BOM):</w:t>
      </w:r>
    </w:p>
    <w:p>
      <w:pPr>
        <w:numPr>
          <w:ilvl w:val="0"/>
          <w:numId w:val="1005"/>
        </w:numPr>
        <w:pStyle w:val="Compact"/>
      </w:pPr>
      <w:r>
        <w:rPr>
          <w:bCs/>
          <w:b/>
        </w:rPr>
        <w:t xml:space="preserve">Upstream Transport (Components from Europe to China factory):</w:t>
      </w:r>
    </w:p>
    <w:p>
      <w:pPr>
        <w:numPr>
          <w:ilvl w:val="1"/>
          <w:numId w:val="1006"/>
        </w:numPr>
        <w:pStyle w:val="Compact"/>
      </w:pPr>
      <w:r>
        <w:rPr>
          <w:bCs/>
          <w:b/>
        </w:rPr>
        <w:t xml:space="preserve">Mode:</w:t>
      </w:r>
      <w:r>
        <w:t xml:space="preserve"> </w:t>
      </w:r>
      <w:r>
        <w:t xml:space="preserve">Ocean Freight (Container ship)</w:t>
      </w:r>
    </w:p>
    <w:p>
      <w:pPr>
        <w:numPr>
          <w:ilvl w:val="1"/>
          <w:numId w:val="1006"/>
        </w:numPr>
        <w:pStyle w:val="Compact"/>
      </w:pPr>
      <w:r>
        <w:rPr>
          <w:bCs/>
          <w:b/>
        </w:rPr>
        <w:t xml:space="preserve">Distance (fsrdnwiwwd):</w:t>
      </w:r>
      <w:r>
        <w:t xml:space="preserve"> </w:t>
      </w:r>
      <w:r>
        <w:t xml:space="preserve">15,000 km (e.g., major European port to China)</w:t>
      </w:r>
    </w:p>
    <w:p>
      <w:pPr>
        <w:numPr>
          <w:ilvl w:val="1"/>
          <w:numId w:val="1006"/>
        </w:numPr>
        <w:pStyle w:val="Compact"/>
      </w:pPr>
      <w:r>
        <w:rPr>
          <w:bCs/>
          <w:b/>
        </w:rPr>
        <w:t xml:space="preserve">Assumed Product Weight for Transport:</w:t>
      </w:r>
      <w:r>
        <w:t xml:space="preserve"> </w:t>
      </w:r>
      <w:r>
        <w:t xml:space="preserve">0.7 kg</w:t>
      </w:r>
    </w:p>
    <w:p>
      <w:pPr>
        <w:numPr>
          <w:ilvl w:val="1"/>
          <w:numId w:val="1006"/>
        </w:numPr>
        <w:pStyle w:val="Compact"/>
      </w:pPr>
      <w:r>
        <w:rPr>
          <w:bCs/>
          <w:b/>
        </w:rPr>
        <w:t xml:space="preserve">Emission Factor:</w:t>
      </w:r>
      <w:r>
        <w:t xml:space="preserve"> </w:t>
      </w:r>
      <w:r>
        <w:t xml:space="preserve">0.016142 kgCO2e/tonne-km (Container ship, average)</w:t>
      </w:r>
    </w:p>
    <w:p>
      <w:pPr>
        <w:numPr>
          <w:ilvl w:val="1"/>
          <w:numId w:val="1006"/>
        </w:numPr>
        <w:pStyle w:val="Compact"/>
      </w:pPr>
      <w:r>
        <w:rPr>
          <w:bCs/>
          <w:b/>
        </w:rPr>
        <w:t xml:space="preserve">Calculation:</w:t>
      </w:r>
      <w:r>
        <w:t xml:space="preserve"> </w:t>
      </w:r>
      <w:r>
        <w:t xml:space="preserve">(0.7 kg / 1000 kg/tonne) * 15000 km * 0.016142 kgCO2e/tonne-km = 0.169 kgCO2e</w:t>
      </w:r>
    </w:p>
    <w:p>
      <w:pPr>
        <w:numPr>
          <w:ilvl w:val="0"/>
          <w:numId w:val="1005"/>
        </w:numPr>
        <w:pStyle w:val="Compact"/>
      </w:pPr>
      <w:r>
        <w:rPr>
          <w:bCs/>
          <w:b/>
        </w:rPr>
        <w:t xml:space="preserve">Downstream Transport (Finished Product from China factory to European Distribution Center):</w:t>
      </w:r>
    </w:p>
    <w:p>
      <w:pPr>
        <w:numPr>
          <w:ilvl w:val="1"/>
          <w:numId w:val="1007"/>
        </w:numPr>
        <w:pStyle w:val="Compact"/>
      </w:pPr>
      <w:r>
        <w:rPr>
          <w:bCs/>
          <w:b/>
        </w:rPr>
        <w:t xml:space="preserve">Mode:</w:t>
      </w:r>
      <w:r>
        <w:t xml:space="preserve"> </w:t>
      </w:r>
      <w:r>
        <w:t xml:space="preserve">Ocean Freight (Container ship)</w:t>
      </w:r>
    </w:p>
    <w:p>
      <w:pPr>
        <w:numPr>
          <w:ilvl w:val="1"/>
          <w:numId w:val="1007"/>
        </w:numPr>
        <w:pStyle w:val="Compact"/>
      </w:pPr>
      <w:r>
        <w:rPr>
          <w:bCs/>
          <w:b/>
        </w:rPr>
        <w:t xml:space="preserve">Distance (fsrdnwiwwd):</w:t>
      </w:r>
      <w:r>
        <w:t xml:space="preserve"> </w:t>
      </w:r>
      <w:r>
        <w:t xml:space="preserve">15,000 km</w:t>
      </w:r>
    </w:p>
    <w:p>
      <w:pPr>
        <w:numPr>
          <w:ilvl w:val="1"/>
          <w:numId w:val="1007"/>
        </w:numPr>
        <w:pStyle w:val="Compact"/>
      </w:pPr>
      <w:r>
        <w:rPr>
          <w:bCs/>
          <w:b/>
        </w:rPr>
        <w:t xml:space="preserve">Emission Factor:</w:t>
      </w:r>
      <w:r>
        <w:t xml:space="preserve"> </w:t>
      </w:r>
      <w:r>
        <w:t xml:space="preserve">0.016142 kgCO2e/tonne-km</w:t>
      </w:r>
    </w:p>
    <w:p>
      <w:pPr>
        <w:numPr>
          <w:ilvl w:val="1"/>
          <w:numId w:val="1007"/>
        </w:numPr>
        <w:pStyle w:val="Compact"/>
      </w:pPr>
      <w:r>
        <w:rPr>
          <w:bCs/>
          <w:b/>
        </w:rPr>
        <w:t xml:space="preserve">Calculation:</w:t>
      </w:r>
      <w:r>
        <w:t xml:space="preserve"> </w:t>
      </w:r>
      <w:r>
        <w:t xml:space="preserve">(0.7 kg / 1000 kg/tonne) * 15000 km * 0.016142 kgCO2e/tonne-km = 0.169 kgCO2e</w:t>
      </w:r>
    </w:p>
    <w:p>
      <w:pPr>
        <w:numPr>
          <w:ilvl w:val="0"/>
          <w:numId w:val="1005"/>
        </w:numPr>
        <w:pStyle w:val="Compact"/>
      </w:pPr>
      <w:r>
        <w:rPr>
          <w:bCs/>
          <w:b/>
        </w:rPr>
        <w:t xml:space="preserve">Last-Mile Delivery Channel: Delivery Type (Illustrative Data)</w:t>
      </w:r>
    </w:p>
    <w:p>
      <w:pPr>
        <w:numPr>
          <w:ilvl w:val="1"/>
          <w:numId w:val="1008"/>
        </w:numPr>
        <w:pStyle w:val="Compact"/>
      </w:pPr>
      <w:r>
        <w:rPr>
          <w:bCs/>
          <w:b/>
        </w:rPr>
        <w:t xml:space="preserve">Mode:</w:t>
      </w:r>
      <w:r>
        <w:t xml:space="preserve"> </w:t>
      </w:r>
      <w:r>
        <w:t xml:space="preserve">Road Freight (Light Commercial Vehicle for parcel delivery)</w:t>
      </w:r>
    </w:p>
    <w:p>
      <w:pPr>
        <w:numPr>
          <w:ilvl w:val="1"/>
          <w:numId w:val="1008"/>
        </w:numPr>
        <w:pStyle w:val="Compact"/>
      </w:pPr>
      <w:r>
        <w:rPr>
          <w:bCs/>
          <w:b/>
        </w:rPr>
        <w:t xml:space="preserve">Distance:</w:t>
      </w:r>
      <w:r>
        <w:t xml:space="preserve"> </w:t>
      </w:r>
      <w:r>
        <w:t xml:space="preserve">500 km (European distribution center to end-user)</w:t>
      </w:r>
    </w:p>
    <w:p>
      <w:pPr>
        <w:numPr>
          <w:ilvl w:val="1"/>
          <w:numId w:val="1008"/>
        </w:numPr>
        <w:pStyle w:val="Compact"/>
      </w:pPr>
      <w:r>
        <w:rPr>
          <w:bCs/>
          <w:b/>
        </w:rPr>
        <w:t xml:space="preserve">Emission Factor:</w:t>
      </w:r>
      <w:r>
        <w:t xml:space="preserve"> </w:t>
      </w:r>
      <w:r>
        <w:t xml:space="preserve">0.15 kgCO2e/tonne-km (Illustrative, based on general road freight/parcel delivery EF, e.g., DEFRA)</w:t>
      </w:r>
    </w:p>
    <w:p>
      <w:pPr>
        <w:numPr>
          <w:ilvl w:val="1"/>
          <w:numId w:val="1008"/>
        </w:numPr>
        <w:pStyle w:val="Compact"/>
      </w:pPr>
      <w:r>
        <w:rPr>
          <w:bCs/>
          <w:b/>
        </w:rPr>
        <w:t xml:space="preserve">Calculation:</w:t>
      </w:r>
      <w:r>
        <w:t xml:space="preserve"> </w:t>
      </w:r>
      <w:r>
        <w:t xml:space="preserve">(0.7 kg / 1000 kg/tonne) * 500 km * 0.15 kgCO2e/tonne-km = 0.053 kgCO2e</w:t>
      </w:r>
    </w:p>
    <w:p>
      <w:pPr>
        <w:pStyle w:val="FirstParagraph"/>
      </w:pPr>
      <w:r>
        <w:rPr>
          <w:bCs/>
          <w:b/>
        </w:rPr>
        <w:t xml:space="preserve">Total Transport Emissions (Illustrative):</w:t>
      </w:r>
      <w:r>
        <w:t xml:space="preserve"> </w:t>
      </w:r>
      <w:r>
        <w:t xml:space="preserve">0.169 + 0.169 + 0.053 =</w:t>
      </w:r>
      <w:r>
        <w:t xml:space="preserve"> </w:t>
      </w:r>
      <w:r>
        <w:rPr>
          <w:bCs/>
          <w:b/>
        </w:rPr>
        <w:t xml:space="preserve">0.391 kgCO2e</w:t>
      </w:r>
    </w:p>
    <w:bookmarkEnd w:id="29"/>
    <w:bookmarkStart w:id="30" w:name="production-energy-data-illustrative-data"/>
    <w:p>
      <w:pPr>
        <w:pStyle w:val="Heading3"/>
      </w:pPr>
      <w:r>
        <w:t xml:space="preserve">3.3. Production Energy Data (Illustrative Data)</w:t>
      </w:r>
    </w:p>
    <w:p>
      <w:pPr>
        <w:pStyle w:val="FirstParagraph"/>
      </w:pPr>
      <w:r>
        <w:t xml:space="preserve">The energy parameters are placeholders. The following illustrative values are used for manufacturing in China:</w:t>
      </w:r>
    </w:p>
    <w:p>
      <w:pPr>
        <w:numPr>
          <w:ilvl w:val="0"/>
          <w:numId w:val="1009"/>
        </w:numPr>
        <w:pStyle w:val="Compact"/>
      </w:pPr>
      <w:r>
        <w:rPr>
          <w:bCs/>
          <w:b/>
        </w:rPr>
        <w:t xml:space="preserve">Energy Intensity (kWh/unit):</w:t>
      </w:r>
      <w:r>
        <w:t xml:space="preserve"> </w:t>
      </w:r>
      <w:r>
        <w:t xml:space="preserve">ffnyzsdwee = 5.0 kWh/unit</w:t>
      </w:r>
    </w:p>
    <w:p>
      <w:pPr>
        <w:numPr>
          <w:ilvl w:val="0"/>
          <w:numId w:val="1009"/>
        </w:numPr>
        <w:pStyle w:val="Compact"/>
      </w:pPr>
      <w:r>
        <w:rPr>
          <w:bCs/>
          <w:b/>
        </w:rPr>
        <w:t xml:space="preserve">Renewable Energy Usage:</w:t>
      </w:r>
      <w:r>
        <w:t xml:space="preserve"> </w:t>
      </w:r>
      <w:r>
        <w:t xml:space="preserve">ypuqylhemg = 70%</w:t>
      </w:r>
    </w:p>
    <w:p>
      <w:pPr>
        <w:numPr>
          <w:ilvl w:val="0"/>
          <w:numId w:val="1009"/>
        </w:numPr>
        <w:pStyle w:val="Compact"/>
      </w:pPr>
      <w:r>
        <w:rPr>
          <w:bCs/>
          <w:b/>
        </w:rPr>
        <w:t xml:space="preserve">Grid Emission Factor (China, average):</w:t>
      </w:r>
      <w:r>
        <w:t xml:space="preserve"> </w:t>
      </w:r>
      <w:r>
        <w:t xml:space="preserve">0.6205 kgCO2e/kWh (2023 National Average)</w:t>
      </w:r>
    </w:p>
    <w:p>
      <w:pPr>
        <w:numPr>
          <w:ilvl w:val="0"/>
          <w:numId w:val="1009"/>
        </w:numPr>
        <w:pStyle w:val="Compact"/>
      </w:pPr>
      <w:r>
        <w:rPr>
          <w:bCs/>
          <w:b/>
        </w:rPr>
        <w:t xml:space="preserve">Renewable Energy Emission Factor:</w:t>
      </w:r>
      <w:r>
        <w:t xml:space="preserve"> </w:t>
      </w:r>
      <w:r>
        <w:t xml:space="preserve">0.05 kgCO2e/kWh (Illustrative, residual emissions for renewable sources)</w:t>
      </w:r>
    </w:p>
    <w:p>
      <w:pPr>
        <w:pStyle w:val="FirstParagraph"/>
      </w:pPr>
      <w:r>
        <w:rPr>
          <w:bCs/>
          <w:b/>
        </w:rPr>
        <w:t xml:space="preserve">Calculations:</w:t>
      </w:r>
    </w:p>
    <w:p>
      <w:pPr>
        <w:numPr>
          <w:ilvl w:val="0"/>
          <w:numId w:val="1010"/>
        </w:numPr>
        <w:pStyle w:val="Compact"/>
      </w:pPr>
      <w:r>
        <w:t xml:space="preserve">Non-renewable electricity consumed: 5.0 kWh * (1 - 0.70) = 1.5 kWh</w:t>
      </w:r>
    </w:p>
    <w:p>
      <w:pPr>
        <w:numPr>
          <w:ilvl w:val="0"/>
          <w:numId w:val="1010"/>
        </w:numPr>
        <w:pStyle w:val="Compact"/>
      </w:pPr>
      <w:r>
        <w:t xml:space="preserve">Renewable electricity consumed: 5.0 kWh * 0.70 = 3.5 kWh</w:t>
      </w:r>
    </w:p>
    <w:p>
      <w:pPr>
        <w:numPr>
          <w:ilvl w:val="0"/>
          <w:numId w:val="1010"/>
        </w:numPr>
        <w:pStyle w:val="Compact"/>
      </w:pPr>
      <w:r>
        <w:t xml:space="preserve">Emissions from non-renewable energy: 1.5 kWh * 0.6205 kgCO2e/kWh = 0.931 kgCO2e</w:t>
      </w:r>
    </w:p>
    <w:p>
      <w:pPr>
        <w:numPr>
          <w:ilvl w:val="0"/>
          <w:numId w:val="1010"/>
        </w:numPr>
        <w:pStyle w:val="Compact"/>
      </w:pPr>
      <w:r>
        <w:t xml:space="preserve">Emissions from renewable energy: 3.5 kWh * 0.05 kgCO2e/kWh = 0.175 kgCO2e</w:t>
      </w:r>
    </w:p>
    <w:p>
      <w:pPr>
        <w:pStyle w:val="FirstParagraph"/>
      </w:pPr>
      <w:r>
        <w:rPr>
          <w:bCs/>
          <w:b/>
        </w:rPr>
        <w:t xml:space="preserve">Total Production Energy Emissions (Illustrative):</w:t>
      </w:r>
      <w:r>
        <w:t xml:space="preserve"> </w:t>
      </w:r>
      <w:r>
        <w:t xml:space="preserve">0.931 + 0.175 =</w:t>
      </w:r>
      <w:r>
        <w:t xml:space="preserve"> </w:t>
      </w:r>
      <w:r>
        <w:rPr>
          <w:bCs/>
          <w:b/>
        </w:rPr>
        <w:t xml:space="preserve">1.106 kgCO2e</w:t>
      </w:r>
    </w:p>
    <w:bookmarkEnd w:id="30"/>
    <w:bookmarkStart w:id="31" w:name="use-phase-data-illustrative-data"/>
    <w:p>
      <w:pPr>
        <w:pStyle w:val="Heading3"/>
      </w:pPr>
      <w:r>
        <w:t xml:space="preserve">3.4. Use Phase Data (Illustrative Data)</w:t>
      </w:r>
    </w:p>
    <w:p>
      <w:pPr>
        <w:pStyle w:val="FirstParagraph"/>
      </w:pPr>
      <w:r>
        <w:t xml:space="preserve">The use phase parameters are placeholders. The following illustrative values are used, assuming usage in Europe:</w:t>
      </w:r>
    </w:p>
    <w:p>
      <w:pPr>
        <w:numPr>
          <w:ilvl w:val="0"/>
          <w:numId w:val="1011"/>
        </w:numPr>
        <w:pStyle w:val="Compact"/>
      </w:pPr>
      <w:r>
        <w:rPr>
          <w:bCs/>
          <w:b/>
        </w:rPr>
        <w:t xml:space="preserve">Product Lifespan (hpuwzhhkvw):</w:t>
      </w:r>
      <w:r>
        <w:t xml:space="preserve"> </w:t>
      </w:r>
      <w:r>
        <w:t xml:space="preserve">5 years</w:t>
      </w:r>
    </w:p>
    <w:p>
      <w:pPr>
        <w:numPr>
          <w:ilvl w:val="0"/>
          <w:numId w:val="1011"/>
        </w:numPr>
        <w:pStyle w:val="Compact"/>
      </w:pPr>
      <w:r>
        <w:rPr>
          <w:bCs/>
          <w:b/>
        </w:rPr>
        <w:t xml:space="preserve">Energy Consumption in Use (psflqmosyr):</w:t>
      </w:r>
      <w:r>
        <w:t xml:space="preserve"> </w:t>
      </w:r>
      <w:r>
        <w:t xml:space="preserve">10 kWh/year</w:t>
      </w:r>
    </w:p>
    <w:p>
      <w:pPr>
        <w:numPr>
          <w:ilvl w:val="0"/>
          <w:numId w:val="1011"/>
        </w:numPr>
        <w:pStyle w:val="Compact"/>
      </w:pPr>
      <w:r>
        <w:rPr>
          <w:bCs/>
          <w:b/>
        </w:rPr>
        <w:t xml:space="preserve">Total Energy Consumption over Lifespan:</w:t>
      </w:r>
      <w:r>
        <w:t xml:space="preserve"> </w:t>
      </w:r>
      <w:r>
        <w:t xml:space="preserve">10 kWh/year * 5 years = 50 kWh</w:t>
      </w:r>
    </w:p>
    <w:p>
      <w:pPr>
        <w:numPr>
          <w:ilvl w:val="0"/>
          <w:numId w:val="1011"/>
        </w:numPr>
        <w:pStyle w:val="Compact"/>
      </w:pPr>
      <w:r>
        <w:rPr>
          <w:bCs/>
          <w:b/>
        </w:rPr>
        <w:t xml:space="preserve">Grid Emission Factor (Europe, average):</w:t>
      </w:r>
      <w:r>
        <w:t xml:space="preserve"> </w:t>
      </w:r>
      <w:r>
        <w:t xml:space="preserve">0.25 kgCO2e/kWh (Illustrative average for European mix)</w:t>
      </w:r>
    </w:p>
    <w:p>
      <w:pPr>
        <w:pStyle w:val="FirstParagraph"/>
      </w:pPr>
      <w:r>
        <w:rPr>
          <w:bCs/>
          <w:b/>
        </w:rPr>
        <w:t xml:space="preserve">Calculations:</w:t>
      </w:r>
    </w:p>
    <w:p>
      <w:pPr>
        <w:numPr>
          <w:ilvl w:val="0"/>
          <w:numId w:val="1012"/>
        </w:numPr>
        <w:pStyle w:val="Compact"/>
      </w:pPr>
      <w:r>
        <w:t xml:space="preserve">Emissions from Use Phase: 50 kWh * 0.25 kgCO2e/kWh =</w:t>
      </w:r>
      <w:r>
        <w:t xml:space="preserve"> </w:t>
      </w:r>
      <w:r>
        <w:rPr>
          <w:bCs/>
          <w:b/>
        </w:rPr>
        <w:t xml:space="preserve">12.500 kgCO2e</w:t>
      </w:r>
    </w:p>
    <w:bookmarkEnd w:id="31"/>
    <w:bookmarkStart w:id="32" w:name="X39afe5e5fd3bf9976acf485940c02bc0fe36ec2"/>
    <w:p>
      <w:pPr>
        <w:pStyle w:val="Heading3"/>
      </w:pPr>
      <w:r>
        <w:t xml:space="preserve">3.5. End-of-Life (EoL) Scenarios (Illustrative Data)</w:t>
      </w:r>
    </w:p>
    <w:p>
      <w:pPr>
        <w:pStyle w:val="FirstParagraph"/>
      </w:pPr>
      <w:r>
        <w:t xml:space="preserve">The EoL parameters are placeholders. For a product weighing approximately 0.7 kg at end-of-life:</w:t>
      </w:r>
    </w:p>
    <w:p>
      <w:pPr>
        <w:numPr>
          <w:ilvl w:val="0"/>
          <w:numId w:val="1013"/>
        </w:numPr>
        <w:pStyle w:val="Compact"/>
      </w:pPr>
      <w:r>
        <w:rPr>
          <w:bCs/>
          <w:b/>
        </w:rPr>
        <w:t xml:space="preserve">Recyclability Percentage (rloqhvnuly):</w:t>
      </w:r>
      <w:r>
        <w:t xml:space="preserve"> </w:t>
      </w:r>
      <w:r>
        <w:t xml:space="preserve">60%</w:t>
      </w:r>
    </w:p>
    <w:p>
      <w:pPr>
        <w:numPr>
          <w:ilvl w:val="0"/>
          <w:numId w:val="1013"/>
        </w:numPr>
        <w:pStyle w:val="Compact"/>
      </w:pPr>
      <w:r>
        <w:rPr>
          <w:bCs/>
          <w:b/>
        </w:rPr>
        <w:t xml:space="preserve">Circular/Take-back Programs (uytvkdrdhk):</w:t>
      </w:r>
      <w:r>
        <w:t xml:space="preserve"> </w:t>
      </w:r>
      <w:r>
        <w:t xml:space="preserve">Exist (This implies a higher chance of actual recycling/proper disposal.)</w:t>
      </w:r>
    </w:p>
    <w:p>
      <w:pPr>
        <w:pStyle w:val="FirstParagraph"/>
      </w:pPr>
      <w:r>
        <w:rPr>
          <w:bCs/>
          <w:b/>
        </w:rPr>
        <w:t xml:space="preserve">Calculations (Illustrative):</w:t>
      </w:r>
    </w:p>
    <w:p>
      <w:pPr>
        <w:numPr>
          <w:ilvl w:val="0"/>
          <w:numId w:val="1014"/>
        </w:numPr>
        <w:pStyle w:val="Compact"/>
      </w:pPr>
      <w:r>
        <w:t xml:space="preserve">Weight to be recycled: 0.7 kg * 0.60 = 0.42 kg</w:t>
      </w:r>
    </w:p>
    <w:p>
      <w:pPr>
        <w:numPr>
          <w:ilvl w:val="0"/>
          <w:numId w:val="1014"/>
        </w:numPr>
        <w:pStyle w:val="Compact"/>
      </w:pPr>
      <w:r>
        <w:t xml:space="preserve">Weight for disposal (e.g., landfill/incineration): 0.7 kg * 0.40 = 0.28 kg</w:t>
      </w:r>
    </w:p>
    <w:p>
      <w:pPr>
        <w:numPr>
          <w:ilvl w:val="0"/>
          <w:numId w:val="1014"/>
        </w:numPr>
        <w:pStyle w:val="Compact"/>
      </w:pPr>
      <w:r>
        <w:rPr>
          <w:bCs/>
          <w:b/>
        </w:rPr>
        <w:t xml:space="preserve">Disposal Emissions (for non-recycled portion):</w:t>
      </w:r>
      <w:r>
        <w:t xml:space="preserve"> </w:t>
      </w:r>
      <w:r>
        <w:t xml:space="preserve">Assuming a landfill emission factor of 0.5 kgCO2e/kg for mixed waste (illustrative).</w:t>
      </w:r>
    </w:p>
    <w:p>
      <w:pPr>
        <w:numPr>
          <w:ilvl w:val="1"/>
          <w:numId w:val="1015"/>
        </w:numPr>
        <w:pStyle w:val="Compact"/>
      </w:pPr>
      <w:r>
        <w:t xml:space="preserve">0.28 kg * 0.5 kgCO2e/kg = 0.140 kgCO2e</w:t>
      </w:r>
    </w:p>
    <w:p>
      <w:pPr>
        <w:numPr>
          <w:ilvl w:val="0"/>
          <w:numId w:val="1014"/>
        </w:numPr>
        <w:pStyle w:val="Compact"/>
      </w:pPr>
      <w:r>
        <w:rPr>
          <w:bCs/>
          <w:b/>
        </w:rPr>
        <w:t xml:space="preserve">Recycling Credit/Impact (for recycled portion):</w:t>
      </w:r>
      <w:r>
        <w:t xml:space="preserve"> </w:t>
      </w:r>
      <w:r>
        <w:t xml:space="preserve">Recycling typically avoids virgin material production emissions. Given the existence of circular programs, we assume a net neutral or slight credit for the recycled portion due to energy used in recycling offset by avoided virgin material. For this illustrative calculation, we will consider the processing emissions for recycling as negligible or offset by avoided virgin production, resulting in no net emission for the recycled portion, but acknowledging the benefit.</w:t>
      </w:r>
    </w:p>
    <w:p>
      <w:pPr>
        <w:pStyle w:val="FirstParagraph"/>
      </w:pPr>
      <w:r>
        <w:rPr>
          <w:bCs/>
          <w:b/>
        </w:rPr>
        <w:t xml:space="preserve">Total End-of-Life Emissions (Illustrative):</w:t>
      </w:r>
      <w:r>
        <w:t xml:space="preserve"> </w:t>
      </w:r>
      <w:r>
        <w:t xml:space="preserve">0.140 kgCO2e</w:t>
      </w:r>
    </w:p>
    <w:p>
      <w:r>
        <w:pict>
          <v:rect style="width:0;height:1.5pt" o:hralign="center" o:hrstd="t" o:hr="t"/>
        </w:pict>
      </w:r>
    </w:p>
    <w:bookmarkEnd w:id="32"/>
    <w:bookmarkEnd w:id="33"/>
    <w:bookmarkStart w:id="38" w:name="emission-calculation-and-categorization"/>
    <w:p>
      <w:pPr>
        <w:pStyle w:val="Heading2"/>
      </w:pPr>
      <w:r>
        <w:t xml:space="preserve">4. Emission Calculation and Categorization</w:t>
      </w:r>
    </w:p>
    <w:p>
      <w:pPr>
        <w:pStyle w:val="FirstParagraph"/>
      </w:pPr>
      <w:r>
        <w:t xml:space="preserve">The total Product Carbon Footprint for qgngunglvi is calculated by summing the emissions from each lifecycle stage, categorized according to the GHG Protocol Scopes.</w:t>
      </w:r>
    </w:p>
    <w:bookmarkStart w:id="34" w:name="summary-of-emissions-by-lifecycle-stage"/>
    <w:p>
      <w:pPr>
        <w:pStyle w:val="Heading3"/>
      </w:pPr>
      <w:r>
        <w:t xml:space="preserve">4.1. 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Illustrative Emissions (kgCO2e)</w:t>
            </w:r>
          </w:p>
        </w:tc>
        <w:tc>
          <w:tcPr/>
          <w:p>
            <w:pPr>
              <w:pStyle w:val="Compact"/>
              <w:jc w:val="left"/>
            </w:pPr>
            <w:r>
              <w:t xml:space="preserve">GHG Scope Classification</w:t>
            </w:r>
          </w:p>
        </w:tc>
      </w:tr>
      <w:tr>
        <w:tc>
          <w:tcPr/>
          <w:p>
            <w:pPr>
              <w:pStyle w:val="Compact"/>
              <w:jc w:val="left"/>
            </w:pPr>
            <w:r>
              <w:t xml:space="preserve">Raw Material Acquisition &amp; Pre-processing</w:t>
            </w:r>
          </w:p>
        </w:tc>
        <w:tc>
          <w:tcPr/>
          <w:p>
            <w:pPr>
              <w:pStyle w:val="Compact"/>
              <w:jc w:val="left"/>
            </w:pPr>
            <w:r>
              <w:t xml:space="preserve">3.888</w:t>
            </w:r>
          </w:p>
        </w:tc>
        <w:tc>
          <w:tcPr/>
          <w:p>
            <w:pPr>
              <w:pStyle w:val="Compact"/>
              <w:jc w:val="left"/>
            </w:pPr>
            <w:r>
              <w:t xml:space="preserve">Scope 3 (Upstream - Category 1: Purchased goods and services)</w:t>
            </w:r>
          </w:p>
        </w:tc>
      </w:tr>
      <w:tr>
        <w:tc>
          <w:tcPr/>
          <w:p>
            <w:pPr>
              <w:pStyle w:val="Compact"/>
              <w:jc w:val="left"/>
            </w:pPr>
            <w:r>
              <w:t xml:space="preserve">Manufacturing (Production) - Energy</w:t>
            </w:r>
          </w:p>
        </w:tc>
        <w:tc>
          <w:tcPr/>
          <w:p>
            <w:pPr>
              <w:pStyle w:val="Compact"/>
              <w:jc w:val="left"/>
            </w:pPr>
            <w:r>
              <w:t xml:space="preserve">1.106</w:t>
            </w:r>
          </w:p>
        </w:tc>
        <w:tc>
          <w:tcPr/>
          <w:p>
            <w:pPr>
              <w:pStyle w:val="Compact"/>
              <w:jc w:val="left"/>
            </w:pPr>
            <w:r>
              <w:t xml:space="preserve">Scope 2 (Purchased electricity)</w:t>
            </w:r>
          </w:p>
        </w:tc>
      </w:tr>
      <w:tr>
        <w:tc>
          <w:tcPr/>
          <w:p>
            <w:pPr>
              <w:pStyle w:val="Compact"/>
              <w:jc w:val="left"/>
            </w:pPr>
            <w:r>
              <w:t xml:space="preserve">Manufacturing (Production) - Direct processes*</w:t>
            </w:r>
          </w:p>
        </w:tc>
        <w:tc>
          <w:tcPr/>
          <w:p>
            <w:pPr>
              <w:pStyle w:val="Compact"/>
              <w:jc w:val="left"/>
            </w:pPr>
            <w:r>
              <w:t xml:space="preserve">0.000</w:t>
            </w:r>
          </w:p>
        </w:tc>
        <w:tc>
          <w:tcPr/>
          <w:p>
            <w:pPr>
              <w:pStyle w:val="Compact"/>
              <w:jc w:val="left"/>
            </w:pPr>
            <w:r>
              <w:t xml:space="preserve">Scope 1 (Direct emissions, assumed negligible or included in raw materials)</w:t>
            </w:r>
          </w:p>
        </w:tc>
      </w:tr>
      <w:tr>
        <w:tc>
          <w:tcPr/>
          <w:p>
            <w:pPr>
              <w:pStyle w:val="Compact"/>
              <w:jc w:val="left"/>
            </w:pPr>
            <w:r>
              <w:t xml:space="preserve">Transport (Upstream)</w:t>
            </w:r>
          </w:p>
        </w:tc>
        <w:tc>
          <w:tcPr/>
          <w:p>
            <w:pPr>
              <w:pStyle w:val="Compact"/>
              <w:jc w:val="left"/>
            </w:pPr>
            <w:r>
              <w:t xml:space="preserve">0.169</w:t>
            </w:r>
          </w:p>
        </w:tc>
        <w:tc>
          <w:tcPr/>
          <w:p>
            <w:pPr>
              <w:pStyle w:val="Compact"/>
              <w:jc w:val="left"/>
            </w:pPr>
            <w:r>
              <w:t xml:space="preserve">Scope 3 (Upstream - Category 4: Upstream transportation and distribution)</w:t>
            </w:r>
          </w:p>
        </w:tc>
      </w:tr>
      <w:tr>
        <w:tc>
          <w:tcPr/>
          <w:p>
            <w:pPr>
              <w:pStyle w:val="Compact"/>
              <w:jc w:val="left"/>
            </w:pPr>
            <w:r>
              <w:t xml:space="preserve">Transport (Downstream)</w:t>
            </w:r>
          </w:p>
        </w:tc>
        <w:tc>
          <w:tcPr/>
          <w:p>
            <w:pPr>
              <w:pStyle w:val="Compact"/>
              <w:jc w:val="left"/>
            </w:pPr>
            <w:r>
              <w:t xml:space="preserve">0.169 + 0.053 = 0.222</w:t>
            </w:r>
          </w:p>
        </w:tc>
        <w:tc>
          <w:tcPr/>
          <w:p>
            <w:pPr>
              <w:pStyle w:val="Compact"/>
              <w:jc w:val="left"/>
            </w:pPr>
            <w:r>
              <w:t xml:space="preserve">Scope 3 (Downstream - Category 9: Downstream transportation and distribution)</w:t>
            </w:r>
          </w:p>
        </w:tc>
      </w:tr>
      <w:tr>
        <w:tc>
          <w:tcPr/>
          <w:p>
            <w:pPr>
              <w:pStyle w:val="Compact"/>
              <w:jc w:val="left"/>
            </w:pPr>
            <w:r>
              <w:t xml:space="preserve">Use Phase</w:t>
            </w:r>
          </w:p>
        </w:tc>
        <w:tc>
          <w:tcPr/>
          <w:p>
            <w:pPr>
              <w:pStyle w:val="Compact"/>
              <w:jc w:val="left"/>
            </w:pPr>
            <w:r>
              <w:t xml:space="preserve">12.500</w:t>
            </w:r>
          </w:p>
        </w:tc>
        <w:tc>
          <w:tcPr/>
          <w:p>
            <w:pPr>
              <w:pStyle w:val="Compact"/>
              <w:jc w:val="left"/>
            </w:pPr>
            <w:r>
              <w:t xml:space="preserve">Scope 3 (Downstream - Category 11: Use of sold products)</w:t>
            </w:r>
          </w:p>
        </w:tc>
      </w:tr>
      <w:tr>
        <w:tc>
          <w:tcPr/>
          <w:p>
            <w:pPr>
              <w:pStyle w:val="Compact"/>
              <w:jc w:val="left"/>
            </w:pPr>
            <w:r>
              <w:t xml:space="preserve">End-of-Life Treatment</w:t>
            </w:r>
          </w:p>
        </w:tc>
        <w:tc>
          <w:tcPr/>
          <w:p>
            <w:pPr>
              <w:pStyle w:val="Compact"/>
              <w:jc w:val="left"/>
            </w:pPr>
            <w:r>
              <w:t xml:space="preserve">0.140</w:t>
            </w:r>
          </w:p>
        </w:tc>
        <w:tc>
          <w:tcPr/>
          <w:p>
            <w:pPr>
              <w:pStyle w:val="Compact"/>
              <w:jc w:val="left"/>
            </w:pPr>
            <w:r>
              <w:t xml:space="preserve">Scope 3 (Downstream - Category 12: End-of-life treatment of sold products)</w:t>
            </w:r>
          </w:p>
        </w:tc>
      </w:tr>
      <w:tr>
        <w:tc>
          <w:tcPr>
            <w:gridSpan w:val="2"/>
          </w:tcPr>
          <w:p>
            <w:pPr>
              <w:pStyle w:val="Compact"/>
              <w:jc w:val="right"/>
            </w:pPr>
            <w:r>
              <w:rPr>
                <w:bCs/>
                <w:b/>
              </w:rPr>
              <w:t xml:space="preserve">Total Product Carbon Footprint (Illustrative)</w:t>
            </w:r>
          </w:p>
        </w:tc>
        <w:tc>
          <w:tcPr/>
          <w:p>
            <w:pPr>
              <w:pStyle w:val="Compact"/>
              <w:jc w:val="left"/>
            </w:pPr>
            <w:r>
              <w:rPr>
                <w:bCs/>
                <w:b/>
              </w:rPr>
              <w:t xml:space="preserve">18.029 kgCO2e per unit of qgngunglvi</w:t>
            </w:r>
          </w:p>
        </w:tc>
      </w:tr>
    </w:tbl>
    <w:p>
      <w:pPr>
        <w:pStyle w:val="BodyText"/>
      </w:pPr>
      <w:r>
        <w:t xml:space="preserve">*Note: Scope 1 direct emissions from manufacturing processes (e.g., on-site fuel combustion not for electricity) are assumed to be negligible or are captured within the \'Purchased goods and services\' if sourced from suppliers\' Scope 1. For a detailed assessment, specific data on pxfpsoxomo\'s direct manufacturing emissions would be required.</w:t>
      </w:r>
    </w:p>
    <w:bookmarkEnd w:id="34"/>
    <w:bookmarkStart w:id="35" w:name="total-emissions-by-ghg-protocol-scope"/>
    <w:p>
      <w:pPr>
        <w:pStyle w:val="Heading3"/>
      </w:pPr>
      <w:r>
        <w:t xml:space="preserve">4.2. Total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Emissions (kgCO2e)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1.106</w:t>
            </w:r>
          </w:p>
        </w:tc>
        <w:tc>
          <w:tcPr/>
          <w:p>
            <w:pPr>
              <w:pStyle w:val="Compact"/>
              <w:jc w:val="left"/>
            </w:pPr>
            <w:r>
              <w:t xml:space="preserve">6.13%</w:t>
            </w:r>
          </w:p>
        </w:tc>
      </w:tr>
      <w:tr>
        <w:tc>
          <w:tcPr/>
          <w:p>
            <w:pPr>
              <w:pStyle w:val="Compact"/>
              <w:jc w:val="left"/>
            </w:pPr>
            <w:r>
              <w:t xml:space="preserve">Scope 3</w:t>
            </w:r>
          </w:p>
        </w:tc>
        <w:tc>
          <w:tcPr/>
          <w:p>
            <w:pPr>
              <w:pStyle w:val="Compact"/>
              <w:jc w:val="left"/>
            </w:pPr>
            <w:r>
              <w:t xml:space="preserve">16.923</w:t>
            </w:r>
          </w:p>
        </w:tc>
        <w:tc>
          <w:tcPr/>
          <w:p>
            <w:pPr>
              <w:pStyle w:val="Compact"/>
              <w:jc w:val="left"/>
            </w:pPr>
            <w:r>
              <w:t xml:space="preserve">93.87%</w:t>
            </w:r>
          </w:p>
        </w:tc>
      </w:tr>
      <w:tr>
        <w:tc>
          <w:tcPr/>
          <w:p>
            <w:pPr>
              <w:pStyle w:val="Compact"/>
              <w:jc w:val="left"/>
            </w:pPr>
            <w:r>
              <w:t xml:space="preserve">Total PCF</w:t>
            </w:r>
          </w:p>
        </w:tc>
        <w:tc>
          <w:tcPr/>
          <w:p>
            <w:pPr>
              <w:pStyle w:val="Compact"/>
              <w:jc w:val="left"/>
            </w:pPr>
            <w:r>
              <w:t xml:space="preserve">18.029</w:t>
            </w:r>
          </w:p>
        </w:tc>
        <w:tc>
          <w:tcPr/>
          <w:p>
            <w:pPr>
              <w:pStyle w:val="Compact"/>
              <w:jc w:val="left"/>
            </w:pPr>
            <w:r>
              <w:t xml:space="preserve">100.00%</w:t>
            </w:r>
          </w:p>
        </w:tc>
      </w:tr>
    </w:tbl>
    <w:bookmarkEnd w:id="35"/>
    <w:bookmarkStart w:id="36" w:name="X81c3f89c3c060ab205328d6a255136116e21385"/>
    <w:p>
      <w:pPr>
        <w:pStyle w:val="Heading3"/>
      </w:pPr>
      <w:r>
        <w:t xml:space="preserve">4.3. Scope 3 Coverage Analysis (2026 Requirements)</w:t>
      </w:r>
    </w:p>
    <w:p>
      <w:pPr>
        <w:pStyle w:val="FirstParagraph"/>
      </w:pPr>
      <w:r>
        <w:t xml:space="preserve">The calculated Scope 3 emissions represent 93.87% of the total PCF, which is below the target of 95% coverage as per the proposed 2026 GHG Protocol Scope 3 Standard revisions. This indicates that while significant value chain emissions have been captured, there may be minor sources not yet quantified or some upstream/downstream activities with less precise data. To achieve full compliance with the 95% rule, further investigation into all Scope 3 categories (e.g., capital goods, waste generated in operations, business travel, employee commuting, upstream/downstream leased assets, franchises, investments) would be necessary. Emphasis on collecting primary data from supply chain partners will be crucial for improving data quality and coverage.</w:t>
      </w:r>
    </w:p>
    <w:bookmarkEnd w:id="36"/>
    <w:bookmarkStart w:id="37" w:name="Xb00d2208a6327523f65cf6ede8209ac487b9bba"/>
    <w:p>
      <w:pPr>
        <w:pStyle w:val="Heading3"/>
      </w:pPr>
      <w:r>
        <w:t xml:space="preserve">4.4. Application of Land Sector and Removals (LSR) Standard</w:t>
      </w:r>
    </w:p>
    <w:p>
      <w:pPr>
        <w:pStyle w:val="FirstParagraph"/>
      </w:pPr>
      <w:r>
        <w:t xml:space="preserve">The LSR Standard, effective from January 1, 2027, is designed to account for land-related emissions and removals. While the primary focus of qgngunglvi (an electronic product) may not directly involve extensive land-use change or biogenic carbon removals in its immediate production, the standard is relevant for the upstream raw material acquisition phase. For instance, the extraction of metals (copper, aluminium) and the sourcing of wood pulp for cardboard packaging could have land-use impacts. If specific data on deforestation, soil carbon changes, or ecosystem restoration associated with these raw material supply chains were available, they would be quantified and reported under the LSR Standard. The guidance for the LSR Standard, expected in Q2 2026, will further clarify implementation for such indirect land-related impacts.</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identification"/>
    <w:p>
      <w:pPr>
        <w:pStyle w:val="Heading3"/>
      </w:pPr>
      <w:r>
        <w:t xml:space="preserve">5.1. Emission Hotspots Identification</w:t>
      </w:r>
    </w:p>
    <w:p>
      <w:pPr>
        <w:pStyle w:val="FirstParagraph"/>
      </w:pPr>
      <w:r>
        <w:t xml:space="preserve">Based on the illustrative calculations, the primary emission hotspots for qgngunglvi are:</w:t>
      </w:r>
    </w:p>
    <w:p>
      <w:pPr>
        <w:numPr>
          <w:ilvl w:val="0"/>
          <w:numId w:val="1016"/>
        </w:numPr>
        <w:pStyle w:val="Compact"/>
      </w:pPr>
      <w:r>
        <w:rPr>
          <w:bCs/>
          <w:b/>
        </w:rPr>
        <w:t xml:space="preserve">Use Phase (69.33% of total PCF):</w:t>
      </w:r>
      <w:r>
        <w:t xml:space="preserve"> </w:t>
      </w:r>
      <w:r>
        <w:t xml:space="preserve">This is the most significant hotspot, primarily driven by the energy consumption of the product over its 5-year lifespan and the assumed grid intensity in Europe. This highlights the critical importance of energy efficiency during product design and the shift to renewable energy sources for consumers.</w:t>
      </w:r>
    </w:p>
    <w:p>
      <w:pPr>
        <w:numPr>
          <w:ilvl w:val="0"/>
          <w:numId w:val="1016"/>
        </w:numPr>
        <w:pStyle w:val="Compact"/>
      </w:pPr>
      <w:r>
        <w:rPr>
          <w:bCs/>
          <w:b/>
        </w:rPr>
        <w:t xml:space="preserve">Raw Material Acquisition &amp; Pre-processing (21.57% of total PCF):</w:t>
      </w:r>
      <w:r>
        <w:t xml:space="preserve"> </w:t>
      </w:r>
      <w:r>
        <w:t xml:space="preserve">The production of materials, especially complex electronic components and plastics, contributes substantially to the footprint. This emphasizes the need for sustainable material choices, increased recycled content, and supplier engagement for low-carbon materials.</w:t>
      </w:r>
    </w:p>
    <w:p>
      <w:pPr>
        <w:numPr>
          <w:ilvl w:val="0"/>
          <w:numId w:val="1016"/>
        </w:numPr>
        <w:pStyle w:val="Compact"/>
      </w:pPr>
      <w:r>
        <w:rPr>
          <w:bCs/>
          <w:b/>
        </w:rPr>
        <w:t xml:space="preserve">Manufacturing (6.13% of total PCF):</w:t>
      </w:r>
      <w:r>
        <w:t xml:space="preserve"> </w:t>
      </w:r>
      <w:r>
        <w:t xml:space="preserve">While significant, the impact here is somewhat mitigated by the assumed high renewable energy usage (70%) in the production facility.</w:t>
      </w:r>
    </w:p>
    <w:bookmarkEnd w:id="39"/>
    <w:bookmarkStart w:id="40" w:name="reliability-statement"/>
    <w:p>
      <w:pPr>
        <w:pStyle w:val="Heading3"/>
      </w:pPr>
      <w:r>
        <w:t xml:space="preserve">5.2. Reliability Statement</w:t>
      </w:r>
    </w:p>
    <w:p>
      <w:pPr>
        <w:pStyle w:val="FirstParagraph"/>
      </w:pPr>
      <w:r>
        <w:t xml:space="preserve">The calculations in this report are based on the GHG Protocol standards and leverage industry-average emission factors from reputable databases where primary data was not directly provided for the placeholder parameters. The use of illustrative data for specific parameters (BOM details, transport distances, energy consumption) means the absolute figures presented are indicative rather than definitive for pxfpsoxomo\'s actual product. However, the methodology and identification of hotspots remain robust for guiding emission reduction efforts. To enhance reliability and accuracy for future reports, primary data collection from all relevant suppliers and internal operations is strongly recommended, especially for Scope 3 emissions categories.</w:t>
      </w:r>
    </w:p>
    <w:bookmarkEnd w:id="40"/>
    <w:bookmarkStart w:id="41" w:name="recommendations-for-emission-reduction"/>
    <w:p>
      <w:pPr>
        <w:pStyle w:val="Heading3"/>
      </w:pPr>
      <w:r>
        <w:t xml:space="preserve">5.3. Recommendations for Emission Reduction</w:t>
      </w:r>
    </w:p>
    <w:p>
      <w:pPr>
        <w:numPr>
          <w:ilvl w:val="0"/>
          <w:numId w:val="1017"/>
        </w:numPr>
        <w:pStyle w:val="Compact"/>
      </w:pPr>
      <w:r>
        <w:rPr>
          <w:bCs/>
          <w:b/>
        </w:rPr>
        <w:t xml:space="preserve">Prioritize Use Phase Decarbonization:</w:t>
      </w:r>
    </w:p>
    <w:p>
      <w:pPr>
        <w:numPr>
          <w:ilvl w:val="1"/>
          <w:numId w:val="1018"/>
        </w:numPr>
        <w:pStyle w:val="Compact"/>
      </w:pPr>
      <w:r>
        <w:t xml:space="preserve">Innovate for ultra-low power consumption during the product\'s lifespan.</w:t>
      </w:r>
    </w:p>
    <w:p>
      <w:pPr>
        <w:numPr>
          <w:ilvl w:val="1"/>
          <w:numId w:val="1018"/>
        </w:numPr>
        <w:pStyle w:val="Compact"/>
      </w:pPr>
      <w:r>
        <w:t xml:space="preserve">Explore integration of renewable energy charging solutions or highly efficient power management systems.</w:t>
      </w:r>
    </w:p>
    <w:p>
      <w:pPr>
        <w:numPr>
          <w:ilvl w:val="1"/>
          <w:numId w:val="1018"/>
        </w:numPr>
        <w:pStyle w:val="Compact"/>
      </w:pPr>
      <w:r>
        <w:t xml:space="preserve">Educate end-users on sustainable usage patterns and the benefits of renewable energy.</w:t>
      </w:r>
    </w:p>
    <w:p>
      <w:pPr>
        <w:numPr>
          <w:ilvl w:val="0"/>
          <w:numId w:val="1017"/>
        </w:numPr>
        <w:pStyle w:val="Compact"/>
      </w:pPr>
      <w:r>
        <w:rPr>
          <w:bCs/>
          <w:b/>
        </w:rPr>
        <w:t xml:space="preserve">Optimize Material Sourcing:</w:t>
      </w:r>
    </w:p>
    <w:p>
      <w:pPr>
        <w:numPr>
          <w:ilvl w:val="1"/>
          <w:numId w:val="1019"/>
        </w:numPr>
        <w:pStyle w:val="Compact"/>
      </w:pPr>
      <w:r>
        <w:t xml:space="preserve">Increase the percentage of recycled content in plastic (e.g., ABS) and metal components.</w:t>
      </w:r>
    </w:p>
    <w:p>
      <w:pPr>
        <w:numPr>
          <w:ilvl w:val="1"/>
          <w:numId w:val="1019"/>
        </w:numPr>
        <w:pStyle w:val="Compact"/>
      </w:pPr>
      <w:r>
        <w:t xml:space="preserve">Engage with suppliers to obtain product-specific or facility-specific emission data (primary data) for materials, especially for high-impact components like PCBs and electronic parts.</w:t>
      </w:r>
    </w:p>
    <w:p>
      <w:pPr>
        <w:numPr>
          <w:ilvl w:val="1"/>
          <w:numId w:val="1019"/>
        </w:numPr>
        <w:pStyle w:val="Compact"/>
      </w:pPr>
      <w:r>
        <w:t xml:space="preserve">Explore alternative, lower-carbon materials or designs that minimize material intensity.</w:t>
      </w:r>
    </w:p>
    <w:p>
      <w:pPr>
        <w:numPr>
          <w:ilvl w:val="0"/>
          <w:numId w:val="1017"/>
        </w:numPr>
        <w:pStyle w:val="Compact"/>
      </w:pPr>
      <w:r>
        <w:rPr>
          <w:bCs/>
          <w:b/>
        </w:rPr>
        <w:t xml:space="preserve">Enhance Manufacturing Efficiency:</w:t>
      </w:r>
    </w:p>
    <w:p>
      <w:pPr>
        <w:numPr>
          <w:ilvl w:val="1"/>
          <w:numId w:val="1020"/>
        </w:numPr>
        <w:pStyle w:val="Compact"/>
      </w:pPr>
      <w:r>
        <w:t xml:space="preserve">Continue or increase the adoption of renewable energy in manufacturing facilities.</w:t>
      </w:r>
    </w:p>
    <w:p>
      <w:pPr>
        <w:numPr>
          <w:ilvl w:val="1"/>
          <w:numId w:val="1020"/>
        </w:numPr>
        <w:pStyle w:val="Compact"/>
      </w:pPr>
      <w:r>
        <w:t xml:space="preserve">Implement energy-efficient production processes and machinery.</w:t>
      </w:r>
    </w:p>
    <w:p>
      <w:pPr>
        <w:numPr>
          <w:ilvl w:val="1"/>
          <w:numId w:val="1020"/>
        </w:numPr>
        <w:pStyle w:val="Compact"/>
      </w:pPr>
      <w:r>
        <w:t xml:space="preserve">Minimize manufacturing waste and ensure responsible waste management, including recycling and recovery.</w:t>
      </w:r>
    </w:p>
    <w:p>
      <w:pPr>
        <w:numPr>
          <w:ilvl w:val="0"/>
          <w:numId w:val="1017"/>
        </w:numPr>
        <w:pStyle w:val="Compact"/>
      </w:pPr>
      <w:r>
        <w:rPr>
          <w:bCs/>
          <w:b/>
        </w:rPr>
        <w:t xml:space="preserve">Refine Logistics:</w:t>
      </w:r>
    </w:p>
    <w:p>
      <w:pPr>
        <w:numPr>
          <w:ilvl w:val="1"/>
          <w:numId w:val="1021"/>
        </w:numPr>
        <w:pStyle w:val="Compact"/>
      </w:pPr>
      <w:r>
        <w:t xml:space="preserve">Optimize transport routes and modes, prioritizing more efficient options like rail or sea freight over air freight where feasible.</w:t>
      </w:r>
    </w:p>
    <w:p>
      <w:pPr>
        <w:numPr>
          <w:ilvl w:val="1"/>
          <w:numId w:val="1021"/>
        </w:numPr>
        <w:pStyle w:val="Compact"/>
      </w:pPr>
      <w:r>
        <w:t xml:space="preserve">Consolidate shipments to maximize load factors.</w:t>
      </w:r>
    </w:p>
    <w:p>
      <w:pPr>
        <w:numPr>
          <w:ilvl w:val="1"/>
          <w:numId w:val="1021"/>
        </w:numPr>
        <w:pStyle w:val="Compact"/>
      </w:pPr>
      <w:r>
        <w:t xml:space="preserve">Investigate the carbon intensity of third-party logistics providers and favor those with decarbonization strategies.</w:t>
      </w:r>
    </w:p>
    <w:p>
      <w:pPr>
        <w:numPr>
          <w:ilvl w:val="0"/>
          <w:numId w:val="1017"/>
        </w:numPr>
        <w:pStyle w:val="Compact"/>
      </w:pPr>
      <w:r>
        <w:rPr>
          <w:bCs/>
          <w:b/>
        </w:rPr>
        <w:t xml:space="preserve">Strengthen Circular Economy Initiatives:</w:t>
      </w:r>
    </w:p>
    <w:p>
      <w:pPr>
        <w:numPr>
          <w:ilvl w:val="1"/>
          <w:numId w:val="1022"/>
        </w:numPr>
        <w:pStyle w:val="Compact"/>
      </w:pPr>
      <w:r>
        <w:t xml:space="preserve">Expand and promote the existing circular/take-back programs (uytvkdrdhk) to maximize product collection for recycling and remanufacturing.</w:t>
      </w:r>
    </w:p>
    <w:p>
      <w:pPr>
        <w:numPr>
          <w:ilvl w:val="1"/>
          <w:numId w:val="1022"/>
        </w:numPr>
        <w:pStyle w:val="Compact"/>
      </w:pPr>
      <w:r>
        <w:t xml:space="preserve">Design products for easier disassembly, repair, and recycling, incorporating principles of modularity and material recovery.</w:t>
      </w:r>
    </w:p>
    <w:p>
      <w:pPr>
        <w:numPr>
          <w:ilvl w:val="0"/>
          <w:numId w:val="1017"/>
        </w:numPr>
        <w:pStyle w:val="Compact"/>
      </w:pPr>
      <w:r>
        <w:rPr>
          <w:bCs/>
          <w:b/>
        </w:rPr>
        <w:t xml:space="preserve">Improve Data Quality for 2026 Compliance:</w:t>
      </w:r>
    </w:p>
    <w:p>
      <w:pPr>
        <w:numPr>
          <w:ilvl w:val="1"/>
          <w:numId w:val="1023"/>
        </w:numPr>
        <w:pStyle w:val="Compact"/>
      </w:pPr>
      <w:r>
        <w:t xml:space="preserve">Implement robust systems for collecting primary data across all Scope 3 categories to meet and exceed the 95% coverage requirement.</w:t>
      </w:r>
    </w:p>
    <w:p>
      <w:pPr>
        <w:numPr>
          <w:ilvl w:val="1"/>
          <w:numId w:val="1023"/>
        </w:numPr>
        <w:pStyle w:val="Compact"/>
      </w:pPr>
      <w:r>
        <w:t xml:space="preserve">Conduct regular audits and verification of GHG data to ensure accuracy and transparency.</w: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qgngunglvi</dc:title>
  <dc:creator/>
  <dc:description>High-detail Product Carbon Footprint (PCF) analysis for product qgngunglvi for company pxfpsoxomo, adhering to GHG Protocol and 2026 LSR updates.</dc:description>
  <dc:language>en</dc:language>
  <cp:keywords/>
  <dcterms:created xsi:type="dcterms:W3CDTF">2026-05-30T18:35:40Z</dcterms:created>
  <dcterms:modified xsi:type="dcterms:W3CDTF">2026-05-30T18:35:40Z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