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qeypwtlurw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qeypwtlurw</w:t>
      </w:r>
    </w:p>
    <w:p>
      <w:pPr>
        <w:pStyle w:val="BodyText"/>
      </w:pPr>
      <w:r>
        <w:rPr>
          <w:bCs/>
          <w:b/>
        </w:rPr>
        <w:t xml:space="preserve">Company Name:</w:t>
      </w:r>
      <w:r>
        <w:t xml:space="preserve"> </w:t>
      </w:r>
      <w:r>
        <w:t xml:space="preserve">miwmehuods</w:t>
      </w:r>
    </w:p>
    <w:p>
      <w:pPr>
        <w:pStyle w:val="BodyText"/>
      </w:pPr>
      <w:r>
        <w:rPr>
          <w:bCs/>
          <w:b/>
        </w:rPr>
        <w:t xml:space="preserve">Senior Sustainability Consultant:</w:t>
      </w:r>
      <w:r>
        <w:t xml:space="preserve"> </w:t>
      </w:r>
      <w:r>
        <w:t xml:space="preserve">hqlhdefouz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at the time of analysis.</w:t>
      </w:r>
      <w:r>
        <w:t xml:space="preserve"> </w:t>
      </w:r>
      <w:r>
        <w:t xml:space="preserve">While efforts have been made to ensure accuracy, the actual environmental impacts may vary.</w:t>
      </w:r>
    </w:p>
    <w:bookmarkEnd w:id="20"/>
    <w:p>
      <w:pPr>
        <w:pStyle w:val="BodyText"/>
      </w:pPr>
      <w:r>
        <w:t xml:space="preserve">Product Carbon Footprint Report - qeypwtlurw | Generated Date: May 27, 2026</w:t>
      </w:r>
    </w:p>
    <w:bookmarkStart w:id="43"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qeypwtlurw</w:t>
      </w:r>
      <w:r>
        <w:t xml:space="preserve">, manufactured by</w:t>
      </w:r>
      <w:r>
        <w:t xml:space="preserve"> </w:t>
      </w:r>
      <w:r>
        <w:rPr>
          <w:bCs/>
          <w:b/>
        </w:rPr>
        <w:t xml:space="preserve">miwmehuods</w:t>
      </w:r>
      <w:r>
        <w:t xml:space="preserve">. The analysis, conducted by Senior Sustainability Consultant</w:t>
      </w:r>
      <w:r>
        <w:t xml:space="preserve"> </w:t>
      </w:r>
      <w:r>
        <w:rPr>
          <w:bCs/>
          <w:b/>
        </w:rPr>
        <w:t xml:space="preserve">hqlhdefouz</w:t>
      </w:r>
      <w:r>
        <w:t xml:space="preserve">, adheres strictly to the GHG Protocol accounting standard, incorporating the latest 2026 Land Sector and Removals (LSR) update and ensuring robust Scope 3 compliance. The total cradle-to-grave carbon footprint for one functional unit of qeypwtlurw is calculated to be</w:t>
      </w:r>
      <w:r>
        <w:t xml:space="preserve"> </w:t>
      </w:r>
      <w:r>
        <w:rPr>
          <w:bCs/>
          <w:b/>
        </w:rPr>
        <w:t xml:space="preserve">43.40 kg CO2e</w:t>
      </w:r>
      <w:r>
        <w:t xml:space="preserve">. The use phase of the product represents the most significant hotspot, highlighting opportunities for future emission reductions through improved energy efficiency during product operation.</w:t>
      </w:r>
    </w:p>
    <w:p>
      <w:r>
        <w:pict>
          <v:rect style="width:0;height:1.5pt" o:hralign="center" o:hrstd="t" o:hr="t"/>
        </w:pict>
      </w:r>
    </w:p>
    <w:bookmarkStart w:id="21" w:name="scope-definition"/>
    <w:p>
      <w:pPr>
        <w:pStyle w:val="Heading2"/>
      </w:pPr>
      <w:r>
        <w:t xml:space="preserve">1. Scope Definition</w:t>
      </w:r>
    </w:p>
    <w:p>
      <w:pPr>
        <w:pStyle w:val="FirstParagraph"/>
      </w:pPr>
      <w:r>
        <w:t xml:space="preserve">The initial step in this PCF analysis involves clearly defining the scope of the assessment:</w:t>
      </w:r>
    </w:p>
    <w:p>
      <w:pPr>
        <w:numPr>
          <w:ilvl w:val="0"/>
          <w:numId w:val="1001"/>
        </w:numPr>
        <w:pStyle w:val="Compact"/>
      </w:pPr>
      <w:r>
        <w:rPr>
          <w:bCs/>
          <w:b/>
        </w:rPr>
        <w:t xml:space="preserve">Functional Unit:</w:t>
      </w:r>
      <w:r>
        <w:t xml:space="preserve"> </w:t>
      </w:r>
      <w:r>
        <w:t xml:space="preserve">The analysis is based on 1.0 unit of the product qeypwtlurw.</w:t>
      </w:r>
    </w:p>
    <w:p>
      <w:pPr>
        <w:numPr>
          <w:ilvl w:val="0"/>
          <w:numId w:val="1001"/>
        </w:numPr>
        <w:pStyle w:val="Compact"/>
      </w:pPr>
      <w:r>
        <w:rPr>
          <w:bCs/>
          <w:b/>
        </w:rPr>
        <w:t xml:space="preserve">System Boundary:</w:t>
      </w:r>
      <w:r>
        <w:t xml:space="preserve"> </w:t>
      </w:r>
      <w:r>
        <w:t xml:space="preserve">A "cradle-to-grave" approach is employed, encompassing all life cycle stages from raw material acquisition, manufacturing, transportation, use, and end-of-life disposal. The primary focus for miwmehuods\'s direct operational control is the \'factory_gate\' boundary for production emissions.</w:t>
      </w:r>
    </w:p>
    <w:p>
      <w:pPr>
        <w:numPr>
          <w:ilvl w:val="0"/>
          <w:numId w:val="1001"/>
        </w:numPr>
        <w:pStyle w:val="Compact"/>
      </w:pPr>
      <w:r>
        <w:rPr>
          <w:bCs/>
          <w:b/>
        </w:rPr>
        <w:t xml:space="preserve">Geographic Scope:</w:t>
      </w:r>
      <w:r>
        <w:t xml:space="preserve"> </w:t>
      </w:r>
      <w:r>
        <w:t xml:space="preserve">Final production occurs in China, with a supply chain focus on Europe for distribution and use.</w:t>
      </w:r>
    </w:p>
    <w:p>
      <w:pPr>
        <w:numPr>
          <w:ilvl w:val="0"/>
          <w:numId w:val="1001"/>
        </w:numPr>
        <w:pStyle w:val="Compact"/>
      </w:pPr>
      <w:r>
        <w:rPr>
          <w:bCs/>
          <w:b/>
        </w:rPr>
        <w:t xml:space="preserve">Accounting Standard:</w:t>
      </w:r>
      <w:r>
        <w:t xml:space="preserve"> </w:t>
      </w:r>
      <w:r>
        <w:t xml:space="preserve">The assessment strictly follows the Greenhouse Gas (GHG) Protocol\'s Product Life Cycle Accounting and Reporting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Where co-production occurs, mass-based allocation is applied for shared processes and infrastructure. For end-of-life scenarios, a cut-off approach is used for materials leaving the system for recycling, with emissions accounted for the disposed portion.</w:t>
      </w:r>
    </w:p>
    <w:p>
      <w:r>
        <w:pict>
          <v:rect style="width:0;height:1.5pt" o:hralign="center" o:hrstd="t" o:hr="t"/>
        </w:pict>
      </w:r>
    </w:p>
    <w:bookmarkEnd w:id="21"/>
    <w:bookmarkStart w:id="27" w:name="X07cf0ea829f60a4f8fa47c00f72a11793fbe483"/>
    <w:p>
      <w:pPr>
        <w:pStyle w:val="Heading2"/>
      </w:pPr>
      <w:r>
        <w:t xml:space="preserve">2. Lifecycle Mapping (LCI Inventory Stages) &amp; 3. Data Collection</w:t>
      </w:r>
    </w:p>
    <w:p>
      <w:pPr>
        <w:pStyle w:val="FirstParagraph"/>
      </w:pPr>
      <w:r>
        <w:t xml:space="preserve">The lifecycle of qeypwtlurw is mapped through five key stages, and data is collected accordingly. Primary data, where available, is prioritized, supplemented by high-quality secondary data from reputable databases (e.g., Ecoinvent, DEFRA) for generic processes and emission factors.</w:t>
      </w:r>
    </w:p>
    <w:bookmarkStart w:id="22" w:name="Xd17dd4a219c1301cc5753cca124e4ba16821b8d"/>
    <w:p>
      <w:pPr>
        <w:pStyle w:val="Heading3"/>
      </w:pPr>
      <w:r>
        <w:t xml:space="preserve">2.1. Detailed Bill of Materials (BOM) &amp; Material Inputs (Scope 3 - Upstream)</w:t>
      </w:r>
    </w:p>
    <w:p>
      <w:pPr>
        <w:pStyle w:val="FirstParagraph"/>
      </w:pPr>
      <w:r>
        <w:t xml:space="preserve">The following detailed Bill of Materials (BOM) for qeypwtlurw (identified as \'szkywozq\') was used for high-accuracy material impact calculation. The \'Total Carbon\' values provided in the BOM are directly incorporated for raw material acquisition and processing emissions.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0.200</w:t>
            </w:r>
          </w:p>
        </w:tc>
        <w:tc>
          <w:tcPr/>
          <w:p>
            <w:pPr>
              <w:pStyle w:val="Compact"/>
              <w:jc w:val="left"/>
            </w:pPr>
            <w:r>
              <w:t xml:space="preserve">8.00</w:t>
            </w:r>
          </w:p>
        </w:tc>
        <w:tc>
          <w:tcPr/>
          <w:p>
            <w:pPr>
              <w:pStyle w:val="Compact"/>
              <w:jc w:val="left"/>
            </w:pPr>
            <w:r>
              <w:t xml:space="preserve">1.6000</w:t>
            </w:r>
          </w:p>
        </w:tc>
      </w:tr>
      <w:tr>
        <w:tc>
          <w:tcPr/>
          <w:p>
            <w:pPr>
              <w:pStyle w:val="Compact"/>
              <w:jc w:val="left"/>
            </w:pPr>
            <w:r>
              <w:t xml:space="preserve">M02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0.100</w:t>
            </w:r>
          </w:p>
        </w:tc>
        <w:tc>
          <w:tcPr/>
          <w:p>
            <w:pPr>
              <w:pStyle w:val="Compact"/>
              <w:jc w:val="left"/>
            </w:pPr>
            <w:r>
              <w:t xml:space="preserve">3.50</w:t>
            </w:r>
          </w:p>
        </w:tc>
        <w:tc>
          <w:tcPr/>
          <w:p>
            <w:pPr>
              <w:pStyle w:val="Compact"/>
              <w:jc w:val="left"/>
            </w:pPr>
            <w:r>
              <w:t xml:space="preserve">0.3500</w:t>
            </w:r>
          </w:p>
        </w:tc>
      </w:tr>
      <w:tr>
        <w:tc>
          <w:tcPr/>
          <w:p>
            <w:pPr>
              <w:pStyle w:val="Compact"/>
              <w:jc w:val="left"/>
            </w:pPr>
            <w:r>
              <w:t xml:space="preserve">M03</w:t>
            </w:r>
          </w:p>
        </w:tc>
        <w:tc>
          <w:tcPr/>
          <w:p>
            <w:pPr>
              <w:pStyle w:val="Compact"/>
              <w:jc w:val="left"/>
            </w:pPr>
            <w:r>
              <w:t xml:space="preserve">PCB (Printed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0.050</w:t>
            </w:r>
          </w:p>
        </w:tc>
        <w:tc>
          <w:tcPr/>
          <w:p>
            <w:pPr>
              <w:pStyle w:val="Compact"/>
              <w:jc w:val="left"/>
            </w:pPr>
            <w:r>
              <w:t xml:space="preserve">15.00</w:t>
            </w:r>
          </w:p>
        </w:tc>
        <w:tc>
          <w:tcPr/>
          <w:p>
            <w:pPr>
              <w:pStyle w:val="Compact"/>
              <w:jc w:val="left"/>
            </w:pPr>
            <w:r>
              <w:t xml:space="preserve">0.7500</w:t>
            </w:r>
          </w:p>
        </w:tc>
      </w:tr>
      <w:tr>
        <w:tc>
          <w:tcPr/>
          <w:p>
            <w:pPr>
              <w:pStyle w:val="Compact"/>
              <w:jc w:val="left"/>
            </w:pPr>
            <w:r>
              <w:t xml:space="preserve">M04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0.080</w:t>
            </w:r>
          </w:p>
        </w:tc>
        <w:tc>
          <w:tcPr/>
          <w:p>
            <w:pPr>
              <w:pStyle w:val="Compact"/>
              <w:jc w:val="left"/>
            </w:pPr>
            <w:r>
              <w:t xml:space="preserve">20.00</w:t>
            </w:r>
          </w:p>
        </w:tc>
        <w:tc>
          <w:tcPr/>
          <w:p>
            <w:pPr>
              <w:pStyle w:val="Compact"/>
              <w:jc w:val="left"/>
            </w:pPr>
            <w:r>
              <w:t xml:space="preserve">1.6000</w:t>
            </w:r>
          </w:p>
        </w:tc>
      </w:tr>
      <w:tr>
        <w:tc>
          <w:tcPr/>
          <w:p>
            <w:pPr>
              <w:pStyle w:val="Compact"/>
              <w:jc w:val="left"/>
            </w:pPr>
            <w:r>
              <w:t xml:space="preserve">M05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0.020</w:t>
            </w:r>
          </w:p>
        </w:tc>
        <w:tc>
          <w:tcPr/>
          <w:p>
            <w:pPr>
              <w:pStyle w:val="Compact"/>
              <w:jc w:val="left"/>
            </w:pPr>
            <w:r>
              <w:t xml:space="preserve">4.00</w:t>
            </w:r>
          </w:p>
        </w:tc>
        <w:tc>
          <w:tcPr/>
          <w:p>
            <w:pPr>
              <w:pStyle w:val="Compact"/>
              <w:jc w:val="left"/>
            </w:pPr>
            <w:r>
              <w:t xml:space="preserve">0.0800</w:t>
            </w:r>
          </w:p>
        </w:tc>
      </w:tr>
      <w:tr>
        <w:tc>
          <w:tcPr/>
          <w:p>
            <w:pPr>
              <w:pStyle w:val="Compact"/>
              <w:jc w:val="left"/>
            </w:pPr>
            <w:r>
              <w:t xml:space="preserve">M06</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0.010</w:t>
            </w:r>
          </w:p>
        </w:tc>
        <w:tc>
          <w:tcPr/>
          <w:p>
            <w:pPr>
              <w:pStyle w:val="Compact"/>
              <w:jc w:val="left"/>
            </w:pPr>
            <w:r>
              <w:t xml:space="preserve">50.00</w:t>
            </w:r>
          </w:p>
        </w:tc>
        <w:tc>
          <w:tcPr/>
          <w:p>
            <w:pPr>
              <w:pStyle w:val="Compact"/>
              <w:jc w:val="left"/>
            </w:pPr>
            <w:r>
              <w:t xml:space="preserve">0.5000</w:t>
            </w:r>
          </w:p>
        </w:tc>
      </w:tr>
      <w:tr>
        <w:tc>
          <w:tcPr/>
          <w:p>
            <w:pPr>
              <w:pStyle w:val="Compact"/>
              <w:jc w:val="left"/>
            </w:pPr>
            <w:r>
              <w:t xml:space="preserve">M07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0.030</w:t>
            </w:r>
          </w:p>
        </w:tc>
        <w:tc>
          <w:tcPr/>
          <w:p>
            <w:pPr>
              <w:pStyle w:val="Compact"/>
              <w:jc w:val="left"/>
            </w:pPr>
            <w:r>
              <w:t xml:space="preserve">1.00</w:t>
            </w:r>
          </w:p>
        </w:tc>
        <w:tc>
          <w:tcPr/>
          <w:p>
            <w:pPr>
              <w:pStyle w:val="Compact"/>
              <w:jc w:val="left"/>
            </w:pPr>
            <w:r>
              <w:t xml:space="preserve">0.0300</w:t>
            </w:r>
          </w:p>
        </w:tc>
      </w:tr>
      <w:tr>
        <w:tc>
          <w:tcPr/>
          <w:p>
            <w:pPr>
              <w:pStyle w:val="Compact"/>
              <w:jc w:val="left"/>
            </w:pPr>
            <w:r>
              <w:t xml:space="preserve">M08</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0.015</w:t>
            </w:r>
          </w:p>
        </w:tc>
        <w:tc>
          <w:tcPr/>
          <w:p>
            <w:pPr>
              <w:pStyle w:val="Compact"/>
              <w:jc w:val="left"/>
            </w:pPr>
            <w:r>
              <w:t xml:space="preserve">1.50</w:t>
            </w:r>
          </w:p>
        </w:tc>
        <w:tc>
          <w:tcPr/>
          <w:p>
            <w:pPr>
              <w:pStyle w:val="Compact"/>
              <w:jc w:val="left"/>
            </w:pPr>
            <w:r>
              <w:t xml:space="preserve">0.0225</w:t>
            </w:r>
          </w:p>
        </w:tc>
      </w:tr>
      <w:tr>
        <w:tc>
          <w:tcPr>
            <w:gridSpan w:val="4"/>
          </w:tcPr>
          <w:p>
            <w:pPr>
              <w:pStyle w:val="Compact"/>
              <w:jc w:val="right"/>
            </w:pPr>
            <w:r>
              <w:rPr>
                <w:bCs/>
                <w:b/>
              </w:rPr>
              <w:t xml:space="preserve">Total Product Mass:</w:t>
            </w:r>
          </w:p>
        </w:tc>
        <w:tc>
          <w:tcPr/>
          <w:p>
            <w:pPr>
              <w:pStyle w:val="Compact"/>
              <w:jc w:val="left"/>
            </w:pPr>
            <w:r>
              <w:rPr>
                <w:bCs/>
                <w:b/>
              </w:rPr>
              <w:t xml:space="preserve">0.505 kg</w:t>
            </w:r>
          </w:p>
        </w:tc>
        <w:tc>
          <w:tcPr/>
          <w:p>
            <w:pPr>
              <w:pStyle w:val="Compact"/>
            </w:pPr>
          </w:p>
        </w:tc>
        <w:tc>
          <w:tcPr/>
          <w:p>
            <w:pPr>
              <w:pStyle w:val="Compact"/>
              <w:jc w:val="left"/>
            </w:pPr>
            <w:r>
              <w:rPr>
                <w:bCs/>
                <w:b/>
              </w:rPr>
              <w:t xml:space="preserve">4.9325 kg CO2e</w:t>
            </w:r>
          </w:p>
        </w:tc>
      </w:tr>
    </w:tbl>
    <w:bookmarkEnd w:id="22"/>
    <w:bookmarkStart w:id="23" w:name="production-phase-data-scope-2"/>
    <w:p>
      <w:pPr>
        <w:pStyle w:val="Heading3"/>
      </w:pPr>
      <w:r>
        <w:t xml:space="preserve">2.2. Production Phase Data (Scope 2)</w:t>
      </w:r>
    </w:p>
    <w:p>
      <w:pPr>
        <w:numPr>
          <w:ilvl w:val="0"/>
          <w:numId w:val="1002"/>
        </w:numPr>
        <w:pStyle w:val="Compact"/>
      </w:pPr>
      <w:r>
        <w:rPr>
          <w:bCs/>
          <w:b/>
        </w:rPr>
        <w:t xml:space="preserve">Energy Intensity (kWh/unit):</w:t>
      </w:r>
      <w:r>
        <w:t xml:space="preserve"> </w:t>
      </w:r>
      <w:r>
        <w:t xml:space="preserve">howmynwelq (8.5 kWh/unit)</w:t>
      </w:r>
    </w:p>
    <w:p>
      <w:pPr>
        <w:numPr>
          <w:ilvl w:val="0"/>
          <w:numId w:val="1002"/>
        </w:numPr>
        <w:pStyle w:val="Compact"/>
      </w:pPr>
      <w:r>
        <w:rPr>
          <w:bCs/>
          <w:b/>
        </w:rPr>
        <w:t xml:space="preserve">Renewable Energy Usage:</w:t>
      </w:r>
      <w:r>
        <w:t xml:space="preserve"> </w:t>
      </w:r>
      <w:r>
        <w:t xml:space="preserve">ukmhhphydn (60%)</w:t>
      </w:r>
    </w:p>
    <w:p>
      <w:pPr>
        <w:numPr>
          <w:ilvl w:val="0"/>
          <w:numId w:val="1002"/>
        </w:numPr>
        <w:pStyle w:val="Compact"/>
      </w:pPr>
      <w:r>
        <w:rPr>
          <w:bCs/>
          <w:b/>
        </w:rPr>
        <w:t xml:space="preserve">Final Production Country:</w:t>
      </w:r>
      <w:r>
        <w:t xml:space="preserve"> </w:t>
      </w:r>
      <w:r>
        <w:t xml:space="preserve">China</w:t>
      </w:r>
    </w:p>
    <w:bookmarkEnd w:id="23"/>
    <w:bookmarkStart w:id="24" w:name="X0279c076aa1fd8d40847aa94c0604f1bfffb70d"/>
    <w:p>
      <w:pPr>
        <w:pStyle w:val="Heading3"/>
      </w:pPr>
      <w:r>
        <w:t xml:space="preserve">2.3. Transport &amp; Logistics Data (Scope 3 - Upstream &amp; Downstream)</w:t>
      </w:r>
    </w:p>
    <w:p>
      <w:pPr>
        <w:numPr>
          <w:ilvl w:val="0"/>
          <w:numId w:val="1003"/>
        </w:numPr>
        <w:pStyle w:val="Compact"/>
      </w:pPr>
      <w:r>
        <w:rPr>
          <w:bCs/>
          <w:b/>
        </w:rPr>
        <w:t xml:space="preserve">Total Product Weight:</w:t>
      </w:r>
      <w:r>
        <w:t xml:space="preserve"> </w:t>
      </w:r>
      <w:r>
        <w:t xml:space="preserve">0.505 kg (per functional unit)</w:t>
      </w:r>
    </w:p>
    <w:p>
      <w:pPr>
        <w:numPr>
          <w:ilvl w:val="0"/>
          <w:numId w:val="1003"/>
        </w:numPr>
        <w:pStyle w:val="Compact"/>
      </w:pPr>
      <w:r>
        <w:rPr>
          <w:bCs/>
          <w:b/>
        </w:rPr>
        <w:t xml:space="preserve">Main Transport Mode (China to Europe):</w:t>
      </w:r>
      <w:r>
        <w:t xml:space="preserve"> </w:t>
      </w:r>
      <w:r>
        <w:t xml:space="preserve">Select Mode (Sea Freight)</w:t>
      </w:r>
    </w:p>
    <w:p>
      <w:pPr>
        <w:numPr>
          <w:ilvl w:val="0"/>
          <w:numId w:val="1003"/>
        </w:numPr>
        <w:pStyle w:val="Compact"/>
      </w:pPr>
      <w:r>
        <w:rPr>
          <w:bCs/>
          <w:b/>
        </w:rPr>
        <w:t xml:space="preserve">Main Transport Distance:</w:t>
      </w:r>
      <w:r>
        <w:t xml:space="preserve"> </w:t>
      </w:r>
      <w:r>
        <w:t xml:space="preserve">wjpmyfgkdi (12,000 km)</w:t>
      </w:r>
    </w:p>
    <w:p>
      <w:pPr>
        <w:numPr>
          <w:ilvl w:val="0"/>
          <w:numId w:val="1003"/>
        </w:numPr>
        <w:pStyle w:val="Compact"/>
      </w:pPr>
      <w:r>
        <w:rPr>
          <w:bCs/>
          <w:b/>
        </w:rPr>
        <w:t xml:space="preserve">Last-Mile Delivery Channel (within Europe):</w:t>
      </w:r>
      <w:r>
        <w:t xml:space="preserve"> </w:t>
      </w:r>
      <w:r>
        <w:t xml:space="preserve">Delivery Type (Parcel Service via Road Freight)</w:t>
      </w:r>
    </w:p>
    <w:p>
      <w:pPr>
        <w:numPr>
          <w:ilvl w:val="0"/>
          <w:numId w:val="1003"/>
        </w:numPr>
        <w:pStyle w:val="Compact"/>
      </w:pPr>
      <w:r>
        <w:rPr>
          <w:bCs/>
          <w:b/>
        </w:rPr>
        <w:t xml:space="preserve">Last-Mile Delivery Distance:</w:t>
      </w:r>
      <w:r>
        <w:t xml:space="preserve"> </w:t>
      </w:r>
      <w:r>
        <w:t xml:space="preserve">wjpmyfgkdi (800 km)</w:t>
      </w:r>
    </w:p>
    <w:bookmarkEnd w:id="24"/>
    <w:bookmarkStart w:id="25" w:name="use-phase-data-scope-3---downstream"/>
    <w:p>
      <w:pPr>
        <w:pStyle w:val="Heading3"/>
      </w:pPr>
      <w:r>
        <w:t xml:space="preserve">2.4. Use Phase Data (Scope 3 - Downstream)</w:t>
      </w:r>
    </w:p>
    <w:p>
      <w:pPr>
        <w:numPr>
          <w:ilvl w:val="0"/>
          <w:numId w:val="1004"/>
        </w:numPr>
        <w:pStyle w:val="Compact"/>
      </w:pPr>
      <w:r>
        <w:rPr>
          <w:bCs/>
          <w:b/>
        </w:rPr>
        <w:t xml:space="preserve">Product Lifespan:</w:t>
      </w:r>
      <w:r>
        <w:t xml:space="preserve"> </w:t>
      </w:r>
      <w:r>
        <w:t xml:space="preserve">nsisritfui (4 years)</w:t>
      </w:r>
    </w:p>
    <w:p>
      <w:pPr>
        <w:numPr>
          <w:ilvl w:val="0"/>
          <w:numId w:val="1004"/>
        </w:numPr>
        <w:pStyle w:val="Compact"/>
      </w:pPr>
      <w:r>
        <w:rPr>
          <w:bCs/>
          <w:b/>
        </w:rPr>
        <w:t xml:space="preserve">Energy Consumption in Use:</w:t>
      </w:r>
      <w:r>
        <w:t xml:space="preserve"> </w:t>
      </w:r>
      <w:r>
        <w:t xml:space="preserve">xedtoxmzzj (50 kWh/year)</w:t>
      </w:r>
    </w:p>
    <w:p>
      <w:pPr>
        <w:numPr>
          <w:ilvl w:val="0"/>
          <w:numId w:val="1004"/>
        </w:numPr>
        <w:pStyle w:val="Compact"/>
      </w:pPr>
      <w:r>
        <w:rPr>
          <w:bCs/>
          <w:b/>
        </w:rPr>
        <w:t xml:space="preserve">Geographic Scope for Use Phase Electricity:</w:t>
      </w:r>
      <w:r>
        <w:t xml:space="preserve"> </w:t>
      </w:r>
      <w:r>
        <w:t xml:space="preserve">Europe Focused</w:t>
      </w:r>
    </w:p>
    <w:bookmarkEnd w:id="25"/>
    <w:bookmarkStart w:id="26" w:name="X1d6fb48e33f8142e05cc7719297f759d585345f"/>
    <w:p>
      <w:pPr>
        <w:pStyle w:val="Heading3"/>
      </w:pPr>
      <w:r>
        <w:t xml:space="preserve">2.5. End-of-Life (EoL) Data (Scope 3 - Downstream)</w:t>
      </w:r>
    </w:p>
    <w:p>
      <w:pPr>
        <w:numPr>
          <w:ilvl w:val="0"/>
          <w:numId w:val="1005"/>
        </w:numPr>
        <w:pStyle w:val="Compact"/>
      </w:pPr>
      <w:r>
        <w:rPr>
          <w:bCs/>
          <w:b/>
        </w:rPr>
        <w:t xml:space="preserve">Recyclability Percentage:</w:t>
      </w:r>
      <w:r>
        <w:t xml:space="preserve"> </w:t>
      </w:r>
      <w:r>
        <w:t xml:space="preserve">imhkziqsiv (65%)</w:t>
      </w:r>
    </w:p>
    <w:p>
      <w:pPr>
        <w:numPr>
          <w:ilvl w:val="0"/>
          <w:numId w:val="1005"/>
        </w:numPr>
        <w:pStyle w:val="Compact"/>
      </w:pPr>
      <w:r>
        <w:rPr>
          <w:bCs/>
          <w:b/>
        </w:rPr>
        <w:t xml:space="preserve">Circular/Take-back Programs:</w:t>
      </w:r>
      <w:r>
        <w:t xml:space="preserve"> </w:t>
      </w:r>
      <w:r>
        <w:t xml:space="preserve">glvvjehjhj (Yes, established take-back scheme in key European markets.)</w:t>
      </w:r>
    </w:p>
    <w:p>
      <w:r>
        <w:pict>
          <v:rect style="width:0;height:1.5pt" o:hralign="center" o:hrstd="t" o:hr="t"/>
        </w:pict>
      </w:r>
    </w:p>
    <w:bookmarkEnd w:id="26"/>
    <w:bookmarkEnd w:id="27"/>
    <w:bookmarkStart w:id="35"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from sources like Ecoinvent and DEFRA are utilized, with specific factors detailed below. All CO2e values include CO2, CH4, and N2O, converted using their respective Global Warming Potentials (GWP).</w:t>
      </w:r>
    </w:p>
    <w:bookmarkStart w:id="28" w:name="X1b0368d9fa279ce5f642e6e7a88ce573ab93153"/>
    <w:p>
      <w:pPr>
        <w:pStyle w:val="Heading3"/>
      </w:pPr>
      <w:r>
        <w:t xml:space="preserve">4.1. Raw Material Acquisition &amp; Processing (Scope 3 - Upstream)</w:t>
      </w:r>
    </w:p>
    <w:p>
      <w:pPr>
        <w:pStyle w:val="FirstParagraph"/>
      </w:pPr>
      <w:r>
        <w:t xml:space="preserve">Based on the provided BOM, the total emissions from the extraction, processing, and manufacturing of raw materials are:</w:t>
      </w:r>
    </w:p>
    <w:p>
      <w:pPr>
        <w:pStyle w:val="BodyText"/>
      </w:pPr>
      <w:r>
        <w:rPr>
          <w:bCs/>
          <w:b/>
        </w:rPr>
        <w:t xml:space="preserve">Total Material Emissions = 4.93 kg CO2e</w:t>
      </w:r>
    </w:p>
    <w:bookmarkEnd w:id="28"/>
    <w:bookmarkStart w:id="29" w:name="manufacturing-production-scope-2"/>
    <w:p>
      <w:pPr>
        <w:pStyle w:val="Heading3"/>
      </w:pPr>
      <w:r>
        <w:t xml:space="preserve">4.2. Manufacturing (Production) (Scope 2)</w:t>
      </w:r>
    </w:p>
    <w:p>
      <w:pPr>
        <w:pStyle w:val="FirstParagraph"/>
      </w:pPr>
      <w:r>
        <w:t xml:space="preserve">The manufacturing process for qeypwtlurw takes place in China.</w:t>
      </w:r>
    </w:p>
    <w:p>
      <w:pPr>
        <w:numPr>
          <w:ilvl w:val="0"/>
          <w:numId w:val="1006"/>
        </w:numPr>
        <w:pStyle w:val="Compact"/>
      </w:pPr>
      <w:r>
        <w:t xml:space="preserve">Energy Intensity: 8.5 kWh/unit</w:t>
      </w:r>
    </w:p>
    <w:p>
      <w:pPr>
        <w:numPr>
          <w:ilvl w:val="0"/>
          <w:numId w:val="1006"/>
        </w:numPr>
        <w:pStyle w:val="Compact"/>
      </w:pPr>
      <w:r>
        <w:t xml:space="preserve">Renewable Energy Usage: 60%</w:t>
      </w:r>
    </w:p>
    <w:p>
      <w:pPr>
        <w:numPr>
          <w:ilvl w:val="0"/>
          <w:numId w:val="1006"/>
        </w:numPr>
        <w:pStyle w:val="Compact"/>
      </w:pPr>
      <w:r>
        <w:t xml:space="preserve">Non-Renewable Energy Share: (1 - 0.60) = 0.40</w:t>
      </w:r>
    </w:p>
    <w:p>
      <w:pPr>
        <w:numPr>
          <w:ilvl w:val="0"/>
          <w:numId w:val="1006"/>
        </w:numPr>
        <w:pStyle w:val="Compact"/>
      </w:pPr>
      <w:r>
        <w:t xml:space="preserve">Non-Renewable Energy Consumed: 8.5 kWh/unit × 0.40 = 3.4 kWh/unit</w:t>
      </w:r>
    </w:p>
    <w:p>
      <w:pPr>
        <w:numPr>
          <w:ilvl w:val="0"/>
          <w:numId w:val="1006"/>
        </w:numPr>
        <w:pStyle w:val="Compact"/>
      </w:pPr>
      <w:r>
        <w:t xml:space="preserve">China Grid Electricity Emission Factor: 0.62 kg CO2e/kWh (2023 national average)</w:t>
      </w:r>
    </w:p>
    <w:p>
      <w:pPr>
        <w:numPr>
          <w:ilvl w:val="0"/>
          <w:numId w:val="1006"/>
        </w:numPr>
        <w:pStyle w:val="Compact"/>
      </w:pPr>
      <w:r>
        <w:rPr>
          <w:bCs/>
          <w:b/>
        </w:rPr>
        <w:t xml:space="preserve">Production Emissions (Scope 2) = 3.4 kWh/unit × 0.62 kg CO2e/kWh = 2.11 kg CO2e</w:t>
      </w:r>
    </w:p>
    <w:bookmarkEnd w:id="29"/>
    <w:bookmarkStart w:id="32" w:name="transport-scope-3---upstream-downstream"/>
    <w:p>
      <w:pPr>
        <w:pStyle w:val="Heading3"/>
      </w:pPr>
      <w:r>
        <w:t xml:space="preserve">4.3. Transport (Scope 3 - Upstream &amp; Downstream)</w:t>
      </w:r>
    </w:p>
    <w:p>
      <w:pPr>
        <w:pStyle w:val="FirstParagraph"/>
      </w:pPr>
      <w:r>
        <w:t xml:space="preserve">Transport emissions include both inbound logistics (raw materials, though covered by BOM in this case) and outbound logistics of the finished product.</w:t>
      </w:r>
    </w:p>
    <w:bookmarkStart w:id="30" w:name="main-transport-china-to-europe"/>
    <w:p>
      <w:pPr>
        <w:pStyle w:val="Heading4"/>
      </w:pPr>
      <w:r>
        <w:t xml:space="preserve">4.3.1. Main Transport (China to Europe)</w:t>
      </w:r>
    </w:p>
    <w:p>
      <w:pPr>
        <w:numPr>
          <w:ilvl w:val="0"/>
          <w:numId w:val="1007"/>
        </w:numPr>
        <w:pStyle w:val="Compact"/>
      </w:pPr>
      <w:r>
        <w:t xml:space="preserve">Transport Mode: Sea Freight (Container Ship)</w:t>
      </w:r>
    </w:p>
    <w:p>
      <w:pPr>
        <w:numPr>
          <w:ilvl w:val="0"/>
          <w:numId w:val="1007"/>
        </w:numPr>
        <w:pStyle w:val="Compact"/>
      </w:pPr>
      <w:r>
        <w:t xml:space="preserve">Distance: 12,000 km</w:t>
      </w:r>
    </w:p>
    <w:p>
      <w:pPr>
        <w:numPr>
          <w:ilvl w:val="0"/>
          <w:numId w:val="1007"/>
        </w:numPr>
        <w:pStyle w:val="Compact"/>
      </w:pPr>
      <w:r>
        <w:t xml:space="preserve">Product Weight: 0.505 kg = 0.000505 tonnes</w:t>
      </w:r>
    </w:p>
    <w:p>
      <w:pPr>
        <w:numPr>
          <w:ilvl w:val="0"/>
          <w:numId w:val="1007"/>
        </w:numPr>
        <w:pStyle w:val="Compact"/>
      </w:pPr>
      <w:r>
        <w:t xml:space="preserve">Sea Freight Emission Factor: 0.016 kg CO2e/tonne-km (average for container ships)</w:t>
      </w:r>
    </w:p>
    <w:p>
      <w:pPr>
        <w:numPr>
          <w:ilvl w:val="0"/>
          <w:numId w:val="1007"/>
        </w:numPr>
        <w:pStyle w:val="Compact"/>
      </w:pPr>
      <w:r>
        <w:rPr>
          <w:bCs/>
          <w:b/>
        </w:rPr>
        <w:t xml:space="preserve">Sea Transport Emissions = 0.000505 tonnes × 12,000 km × 0.016 kg CO2e/tonne-km = 0.097 kg CO2e</w:t>
      </w:r>
    </w:p>
    <w:bookmarkEnd w:id="30"/>
    <w:bookmarkStart w:id="31" w:name="last-mile-delivery-within-europe"/>
    <w:p>
      <w:pPr>
        <w:pStyle w:val="Heading4"/>
      </w:pPr>
      <w:r>
        <w:t xml:space="preserve">4.3.2. Last-Mile Delivery (within Europe)</w:t>
      </w:r>
    </w:p>
    <w:p>
      <w:pPr>
        <w:numPr>
          <w:ilvl w:val="0"/>
          <w:numId w:val="1008"/>
        </w:numPr>
        <w:pStyle w:val="Compact"/>
      </w:pPr>
      <w:r>
        <w:t xml:space="preserve">Transport Mode: Road Freight (Parcel Service)</w:t>
      </w:r>
    </w:p>
    <w:p>
      <w:pPr>
        <w:numPr>
          <w:ilvl w:val="0"/>
          <w:numId w:val="1008"/>
        </w:numPr>
        <w:pStyle w:val="Compact"/>
      </w:pPr>
      <w:r>
        <w:t xml:space="preserve">Distance: 800 km</w:t>
      </w:r>
    </w:p>
    <w:p>
      <w:pPr>
        <w:numPr>
          <w:ilvl w:val="0"/>
          <w:numId w:val="1008"/>
        </w:numPr>
        <w:pStyle w:val="Compact"/>
      </w:pPr>
      <w:r>
        <w:t xml:space="preserve">Product Weight: 0.505 kg = 0.000505 tonnes</w:t>
      </w:r>
    </w:p>
    <w:p>
      <w:pPr>
        <w:numPr>
          <w:ilvl w:val="0"/>
          <w:numId w:val="1008"/>
        </w:numPr>
        <w:pStyle w:val="Compact"/>
      </w:pPr>
      <w:r>
        <w:t xml:space="preserve">Road Freight Emission Factor: 0.105 kg CO2e/tonne-km (based on small parcel delivery)</w:t>
      </w:r>
    </w:p>
    <w:p>
      <w:pPr>
        <w:numPr>
          <w:ilvl w:val="0"/>
          <w:numId w:val="1008"/>
        </w:numPr>
        <w:pStyle w:val="Compact"/>
      </w:pPr>
      <w:r>
        <w:rPr>
          <w:bCs/>
          <w:b/>
        </w:rPr>
        <w:t xml:space="preserve">Road Transport Emissions = 0.000505 tonnes × 800 km × 0.105 kg CO2e/tonne-km = 0.042 kg CO2e</w:t>
      </w:r>
    </w:p>
    <w:p>
      <w:pPr>
        <w:pStyle w:val="FirstParagraph"/>
      </w:pPr>
      <w:r>
        <w:rPr>
          <w:bCs/>
          <w:b/>
        </w:rPr>
        <w:t xml:space="preserve">Total Transport Emissions (Scope 3) = 0.097 kg CO2e + 0.042 kg CO2e = 0.14 kg CO2e</w:t>
      </w:r>
    </w:p>
    <w:bookmarkEnd w:id="31"/>
    <w:bookmarkEnd w:id="32"/>
    <w:bookmarkStart w:id="33" w:name="use-phase-scope-3---downstream"/>
    <w:p>
      <w:pPr>
        <w:pStyle w:val="Heading3"/>
      </w:pPr>
      <w:r>
        <w:t xml:space="preserve">4.4. Use Phase (Scope 3 - Downstream)</w:t>
      </w:r>
    </w:p>
    <w:p>
      <w:pPr>
        <w:pStyle w:val="FirstParagraph"/>
      </w:pPr>
      <w:r>
        <w:t xml:space="preserve">The energy consumption during the product\'s lifespan is a significant factor.</w:t>
      </w:r>
    </w:p>
    <w:p>
      <w:pPr>
        <w:numPr>
          <w:ilvl w:val="0"/>
          <w:numId w:val="1009"/>
        </w:numPr>
        <w:pStyle w:val="Compact"/>
      </w:pPr>
      <w:r>
        <w:t xml:space="preserve">Product Lifespan: 4 years</w:t>
      </w:r>
    </w:p>
    <w:p>
      <w:pPr>
        <w:numPr>
          <w:ilvl w:val="0"/>
          <w:numId w:val="1009"/>
        </w:numPr>
        <w:pStyle w:val="Compact"/>
      </w:pPr>
      <w:r>
        <w:t xml:space="preserve">Energy Consumption in Use: 50 kWh/year</w:t>
      </w:r>
    </w:p>
    <w:p>
      <w:pPr>
        <w:numPr>
          <w:ilvl w:val="0"/>
          <w:numId w:val="1009"/>
        </w:numPr>
        <w:pStyle w:val="Compact"/>
      </w:pPr>
      <w:r>
        <w:t xml:space="preserve">Total Energy in Use: 50 kWh/year × 4 years = 200 kWh</w:t>
      </w:r>
    </w:p>
    <w:p>
      <w:pPr>
        <w:numPr>
          <w:ilvl w:val="0"/>
          <w:numId w:val="1009"/>
        </w:numPr>
        <w:pStyle w:val="Compact"/>
      </w:pPr>
      <w:r>
        <w:t xml:space="preserve">Europe Grid Electricity Emission Factor: 0.181 kg CO2e/kWh (2024 average European factor)</w:t>
      </w:r>
    </w:p>
    <w:p>
      <w:pPr>
        <w:numPr>
          <w:ilvl w:val="0"/>
          <w:numId w:val="1009"/>
        </w:numPr>
        <w:pStyle w:val="Compact"/>
      </w:pPr>
      <w:r>
        <w:rPr>
          <w:bCs/>
          <w:b/>
        </w:rPr>
        <w:t xml:space="preserve">Use Phase Emissions (Scope 3) = 200 kWh × 0.181 kg CO2e/kWh = 36.20 kg CO2e</w:t>
      </w:r>
    </w:p>
    <w:bookmarkEnd w:id="33"/>
    <w:bookmarkStart w:id="34" w:name="end-of-life-eol-scope-3---downstream"/>
    <w:p>
      <w:pPr>
        <w:pStyle w:val="Heading3"/>
      </w:pPr>
      <w:r>
        <w:t xml:space="preserve">4.5. End-of-Life (EoL) (Scope 3 - Downstream)</w:t>
      </w:r>
    </w:p>
    <w:p>
      <w:pPr>
        <w:pStyle w:val="FirstParagraph"/>
      </w:pPr>
      <w:r>
        <w:t xml:space="preserve">The end-of-life scenario considers the recyclability and disposal of the product.</w:t>
      </w:r>
    </w:p>
    <w:p>
      <w:pPr>
        <w:numPr>
          <w:ilvl w:val="0"/>
          <w:numId w:val="1010"/>
        </w:numPr>
        <w:pStyle w:val="Compact"/>
      </w:pPr>
      <w:r>
        <w:t xml:space="preserve">Product Weight: 0.505 kg</w:t>
      </w:r>
    </w:p>
    <w:p>
      <w:pPr>
        <w:numPr>
          <w:ilvl w:val="0"/>
          <w:numId w:val="1010"/>
        </w:numPr>
        <w:pStyle w:val="Compact"/>
      </w:pPr>
      <w:r>
        <w:t xml:space="preserve">Recyclability Percentage: 65%</w:t>
      </w:r>
    </w:p>
    <w:p>
      <w:pPr>
        <w:numPr>
          <w:ilvl w:val="0"/>
          <w:numId w:val="1010"/>
        </w:numPr>
        <w:pStyle w:val="Compact"/>
      </w:pPr>
      <w:r>
        <w:t xml:space="preserve">Non-Recycled Portion: 0.505 kg × (1 - 0.65) = 0.17675 kg</w:t>
      </w:r>
    </w:p>
    <w:p>
      <w:pPr>
        <w:numPr>
          <w:ilvl w:val="0"/>
          <w:numId w:val="1010"/>
        </w:numPr>
        <w:pStyle w:val="Compact"/>
      </w:pPr>
      <w:r>
        <w:t xml:space="preserve">Disposal Emission Factor (Landfill, mixed waste): 0.1 kg CO2e/kg (assumed for residual waste)</w:t>
      </w:r>
    </w:p>
    <w:p>
      <w:pPr>
        <w:numPr>
          <w:ilvl w:val="0"/>
          <w:numId w:val="1010"/>
        </w:numPr>
        <w:pStyle w:val="Compact"/>
      </w:pPr>
      <w:r>
        <w:rPr>
          <w:bCs/>
          <w:b/>
        </w:rPr>
        <w:t xml:space="preserve">EoL Disposal Emissions (Scope 3) = 0.17675 kg × 0.1 kg CO2e/kg = 0.018 kg CO2e</w:t>
      </w:r>
    </w:p>
    <w:p>
      <w:pPr>
        <w:pStyle w:val="FirstParagraph"/>
      </w:pPr>
      <w:r>
        <w:t xml:space="preserve">miwmehuods\'s established take-back schemes (`glvvjehjhj`) and high recyclability (65%) demonstrate a commitment to circularity, potentially mitigating further emissions if recycled materials displace virgin ones.</w:t>
      </w:r>
    </w:p>
    <w:p>
      <w:r>
        <w:pict>
          <v:rect style="width:0;height:1.5pt" o:hralign="center" o:hrstd="t" o:hr="t"/>
        </w:pict>
      </w:r>
    </w:p>
    <w:bookmarkEnd w:id="34"/>
    <w:bookmarkEnd w:id="35"/>
    <w:bookmarkStart w:id="40" w:name="review-report"/>
    <w:p>
      <w:pPr>
        <w:pStyle w:val="Heading2"/>
      </w:pPr>
      <w:r>
        <w:t xml:space="preserve">5. Review &amp; Report</w:t>
      </w:r>
    </w:p>
    <w:bookmarkStart w:id="36" w:name="X4cf4d8f75fd96af0b0638fbaba3da18a3f62f0d"/>
    <w:p>
      <w:pPr>
        <w:pStyle w:val="Heading3"/>
      </w:pPr>
      <w:r>
        <w:t xml:space="preserve">5.1. Total Product Carbon Footprint (PCF) for qeypwtlurw</w:t>
      </w:r>
    </w:p>
    <w:p>
      <w:pPr>
        <w:pStyle w:val="FirstParagraph"/>
      </w:pPr>
      <w:r>
        <w:t xml:space="preserve">The aggregated emissions across all life cycle stages for one functional unit of qeypwtlurw are presented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4.9325</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2.1080</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0.1394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36.2000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0.0177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43.40 kg CO2e</w:t>
            </w:r>
          </w:p>
        </w:tc>
      </w:tr>
    </w:tbl>
    <w:bookmarkEnd w:id="36"/>
    <w:bookmarkStart w:id="37" w:name="ghg-protocol-scope-categorization"/>
    <w:p>
      <w:pPr>
        <w:pStyle w:val="Heading3"/>
      </w:pPr>
      <w:r>
        <w:t xml:space="preserve">5.2. GHG Protocol Scope Categorization</w:t>
      </w:r>
    </w:p>
    <w:p>
      <w:pPr>
        <w:pStyle w:val="FirstParagraph"/>
      </w:pPr>
      <w:r>
        <w:t xml:space="preserve">The total PCF of 43.40 kg CO2e for qeypwtlurw is broken down by GHG Protocol scopes:</w:t>
      </w:r>
    </w:p>
    <w:p>
      <w:pPr>
        <w:numPr>
          <w:ilvl w:val="0"/>
          <w:numId w:val="1011"/>
        </w:numPr>
        <w:pStyle w:val="Compact"/>
      </w:pPr>
      <w:r>
        <w:rPr>
          <w:bCs/>
          <w:b/>
        </w:rPr>
        <w:t xml:space="preserve">Scope 1:</w:t>
      </w:r>
      <w:r>
        <w:t xml:space="preserve"> </w:t>
      </w:r>
      <w:r>
        <w:t xml:space="preserve">0.00 kg CO2e. Direct emissions from sources owned or controlled by miwmehuods are assumed minimal or zero for the product manufacturing process, with primary energy consumption being purchased electricity.</w:t>
      </w:r>
    </w:p>
    <w:p>
      <w:pPr>
        <w:numPr>
          <w:ilvl w:val="0"/>
          <w:numId w:val="1011"/>
        </w:numPr>
        <w:pStyle w:val="Compact"/>
      </w:pPr>
      <w:r>
        <w:rPr>
          <w:bCs/>
          <w:b/>
        </w:rPr>
        <w:t xml:space="preserve">Scope 2:</w:t>
      </w:r>
      <w:r>
        <w:t xml:space="preserve"> </w:t>
      </w:r>
      <w:r>
        <w:t xml:space="preserve">2.11 kg CO2e (4.86% of total). These are indirect emissions from the generation of purchased electricity for the manufacturing process.</w:t>
      </w:r>
    </w:p>
    <w:p>
      <w:pPr>
        <w:numPr>
          <w:ilvl w:val="0"/>
          <w:numId w:val="1011"/>
        </w:numPr>
        <w:pStyle w:val="Compact"/>
      </w:pPr>
      <w:r>
        <w:rPr>
          <w:bCs/>
          <w:b/>
        </w:rPr>
        <w:t xml:space="preserve">Scope 3:</w:t>
      </w:r>
      <w:r>
        <w:t xml:space="preserve"> </w:t>
      </w:r>
      <w:r>
        <w:t xml:space="preserve">41.29 kg CO2e (95.14% of total). These are all other indirect emissions from the value chain, including raw materials, transport, product use, and end-of-life.</w:t>
      </w:r>
    </w:p>
    <w:bookmarkEnd w:id="37"/>
    <w:bookmarkStart w:id="38" w:name="hotspots-and-reliability"/>
    <w:p>
      <w:pPr>
        <w:pStyle w:val="Heading3"/>
      </w:pPr>
      <w:r>
        <w:t xml:space="preserve">5.3. Hotspots and Reliability</w:t>
      </w:r>
    </w:p>
    <w:p>
      <w:pPr>
        <w:pStyle w:val="FirstParagraph"/>
      </w:pPr>
      <w:r>
        <w:t xml:space="preserve">The primary hotspot in the lifecycle of qeypwtlurw is clearly the</w:t>
      </w:r>
      <w:r>
        <w:t xml:space="preserve"> </w:t>
      </w:r>
      <w:r>
        <w:rPr>
          <w:bCs/>
          <w:b/>
        </w:rPr>
        <w:t xml:space="preserve">Use Phase</w:t>
      </w:r>
      <w:r>
        <w:t xml:space="preserve">, contributing approximately 83.4% of the total carbon footprint. This is primarily driven by the energy consumption of 50 kWh/year over a 4-year lifespan. The second largest contributor is the Raw Material Acquisition &amp; Processing stage.</w:t>
      </w:r>
    </w:p>
    <w:p>
      <w:pPr>
        <w:pStyle w:val="BodyText"/>
      </w:pPr>
      <w:r>
        <w:t xml:space="preserve">The reliability of this assessment is considered high due to the use of detailed primary data for the Bill of Materials and specific parameters provided (energy intensity, transport distances, product lifespan, etc.). Secondary emission factors are sourced from recognized industry databases (e.g., IEA, DEFRA, Climatiq) and are appropriate for the geographic scope.</w:t>
      </w:r>
    </w:p>
    <w:bookmarkEnd w:id="38"/>
    <w:bookmarkStart w:id="39" w:name="lsr-update-scope-3-compliance"/>
    <w:p>
      <w:pPr>
        <w:pStyle w:val="Heading3"/>
      </w:pPr>
      <w:r>
        <w:t xml:space="preserve">5.4. 2026 LSR Update &amp; Scope 3 Compliance</w:t>
      </w:r>
    </w:p>
    <w:p>
      <w:pPr>
        <w:pStyle w:val="FirstParagraph"/>
      </w:pPr>
      <w:r>
        <w:t xml:space="preserve">The analysis acknowledges the 2026 Land Sector and Removals (LSR) Standard. This standard provides accounting requirements for land emissions, CO₂ removals, and biogenic products, effective January 1, 2027. While the current material inputs for qeypwtlurw are largely non-biogenic, future analyses, particularly if bio-based materials are introduced, should explicitly apply the detailed guidance of the LSR Standard for accurate accounting of associated land use and carbon sequestration impacts.</w:t>
      </w:r>
    </w:p>
    <w:p>
      <w:pPr>
        <w:pStyle w:val="BodyText"/>
      </w:pPr>
      <w:r>
        <w:t xml:space="preserve">Total Scope 3 emissions account for 95.14% of the overall product carbon footprint. This comfortably meets the 2026 requirement for at least 95% coverage for Scope 3 reporting, demonstrating a comprehensive understanding of value chain emissions.</w:t>
      </w:r>
    </w:p>
    <w:p>
      <w:r>
        <w:pict>
          <v:rect style="width:0;height:1.5pt" o:hralign="center" o:hrstd="t" o:hr="t"/>
        </w:pict>
      </w:r>
    </w:p>
    <w:bookmarkEnd w:id="39"/>
    <w:bookmarkEnd w:id="40"/>
    <w:bookmarkStart w:id="42" w:name="key-insights-and-recommendations"/>
    <w:p>
      <w:pPr>
        <w:pStyle w:val="Heading2"/>
      </w:pPr>
      <w:r>
        <w:t xml:space="preserve">6. Key Insights and Recommendations</w:t>
      </w:r>
    </w:p>
    <w:p>
      <w:pPr>
        <w:numPr>
          <w:ilvl w:val="0"/>
          <w:numId w:val="1012"/>
        </w:numPr>
        <w:pStyle w:val="Compact"/>
      </w:pPr>
      <w:r>
        <w:rPr>
          <w:bCs/>
          <w:b/>
        </w:rPr>
        <w:t xml:space="preserve">Use Phase Efficiency:</w:t>
      </w:r>
      <w:r>
        <w:t xml:space="preserve"> </w:t>
      </w:r>
      <w:r>
        <w:t xml:space="preserve">The overwhelming impact of the use phase presents the largest opportunity for reduction. miwmehuods should prioritize designing qeypwtlurw for extreme energy efficiency, potentially exploring lower power modes, smart energy management features, or alternative power sources during operation.</w:t>
      </w:r>
    </w:p>
    <w:p>
      <w:pPr>
        <w:numPr>
          <w:ilvl w:val="0"/>
          <w:numId w:val="1012"/>
        </w:numPr>
        <w:pStyle w:val="Compact"/>
      </w:pPr>
      <w:r>
        <w:rPr>
          <w:bCs/>
          <w:b/>
        </w:rPr>
        <w:t xml:space="preserve">Renewable Energy Integration:</w:t>
      </w:r>
      <w:r>
        <w:t xml:space="preserve"> </w:t>
      </w:r>
      <w:r>
        <w:t xml:space="preserve">While miwmehuods already uses 60% renewable energy in production, further increasing this percentage could reduce Scope 2 emissions.</w:t>
      </w:r>
    </w:p>
    <w:p>
      <w:pPr>
        <w:numPr>
          <w:ilvl w:val="0"/>
          <w:numId w:val="1012"/>
        </w:numPr>
        <w:pStyle w:val="Compact"/>
      </w:pPr>
      <w:r>
        <w:rPr>
          <w:bCs/>
          <w:b/>
        </w:rPr>
        <w:t xml:space="preserve">Supply Chain Engagement:</w:t>
      </w:r>
      <w:r>
        <w:t xml:space="preserve"> </w:t>
      </w:r>
      <w:r>
        <w:t xml:space="preserve">Continue to work with raw material suppliers to identify opportunities for low-carbon alternatives or processes, given that materials are the second-largest contributor.</w:t>
      </w:r>
    </w:p>
    <w:p>
      <w:pPr>
        <w:numPr>
          <w:ilvl w:val="0"/>
          <w:numId w:val="1012"/>
        </w:numPr>
        <w:pStyle w:val="Compact"/>
      </w:pPr>
      <w:r>
        <w:rPr>
          <w:bCs/>
          <w:b/>
        </w:rPr>
        <w:t xml:space="preserve">Circular Economy Advancement:</w:t>
      </w:r>
      <w:r>
        <w:t xml:space="preserve"> </w:t>
      </w:r>
      <w:r>
        <w:t xml:space="preserve">Leverage the existing circular/take-back programs to maximize the actual recycling rates beyond the 65% design recyclability, ensuring materials are truly re-integrated into production cycles or properly managed.</w:t>
      </w:r>
    </w:p>
    <w:p>
      <w:pPr>
        <w:numPr>
          <w:ilvl w:val="0"/>
          <w:numId w:val="1012"/>
        </w:numPr>
        <w:pStyle w:val="Compact"/>
      </w:pPr>
      <w:r>
        <w:rPr>
          <w:bCs/>
          <w:b/>
        </w:rPr>
        <w:t xml:space="preserve">Data Granularity:</w:t>
      </w:r>
      <w:r>
        <w:t xml:space="preserve"> </w:t>
      </w:r>
      <w:r>
        <w:t xml:space="preserve">For future iterations, explore collecting more granular data on supplier-specific emission factors for materials and actual last-mile delivery vehicle types to further enhance accuracy.</w:t>
      </w:r>
    </w:p>
    <w:p>
      <w:pPr>
        <w:pStyle w:val="FirstParagraph"/>
      </w:pPr>
      <w:r>
        <w:t xml:space="preserve">Confidential - Internal Use Only | Page</w:t>
      </w:r>
      <w:r>
        <w:t xml:space="preserve"> </w:t>
      </w:r>
      <w:bookmarkStart w:id="41" w:name="page-num"/>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qeypwtlurw</dc:title>
  <dc:creator/>
  <dc:description>High-detail Product Carbon Footprint (PCF) analysis for qeypwtlurw by Senior Sustainability Consultant hqlhdefouz, following GHG Protocol standards and 2026 requirements for miwmehuods.</dc:description>
  <dc:language>en</dc:language>
  <cp:keywords/>
  <dcterms:created xsi:type="dcterms:W3CDTF">2026-05-30T16:51:21Z</dcterms:created>
  <dcterms:modified xsi:type="dcterms:W3CDTF">2026-05-30T16:51:21Z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