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qewhfyyete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qewhfyyete</w:t>
      </w:r>
    </w:p>
    <w:p>
      <w:pPr>
        <w:pStyle w:val="BodyText"/>
      </w:pPr>
      <w:r>
        <w:t xml:space="preserve">Company:</w:t>
      </w:r>
      <w:r>
        <w:t xml:space="preserve"> </w:t>
      </w:r>
      <w:r>
        <w:rPr>
          <w:bCs/>
          <w:b/>
        </w:rPr>
        <w:t xml:space="preserve">mklphwqthh</w:t>
      </w:r>
    </w:p>
    <w:p>
      <w:pPr>
        <w:pStyle w:val="BodyText"/>
      </w:pPr>
      <w:r>
        <w:t xml:space="preserve">Senior Sustainability Consultant:</w:t>
      </w:r>
      <w:r>
        <w:t xml:space="preserve"> </w:t>
      </w:r>
      <w:r>
        <w:rPr>
          <w:bCs/>
          <w:b/>
        </w:rPr>
        <w:t xml:space="preserve">jtiiopgeru</w:t>
      </w:r>
    </w:p>
    <w:p>
      <w:pPr>
        <w:pStyle w:val="BodyText"/>
      </w:pPr>
      <w:r>
        <w:t xml:space="preserve">Protocol Data (Accounting Standard): GHG Protocol</w:t>
      </w:r>
    </w:p>
    <w:p>
      <w:pPr>
        <w:pStyle w:val="BodyText"/>
      </w:pPr>
      <w:r>
        <w:t xml:space="preserve">This report is generated based on available data and industry standards. While efforts have been made to ensure accuracy, actual emissions may vary depending on specific operational conditions and further detailed data.</w:t>
      </w:r>
    </w:p>
    <w:bookmarkEnd w:id="20"/>
    <w:bookmarkStart w:id="21" w:name="Xcc850b354e8e964973d2982413477442da4cde7"/>
    <w:p>
      <w:pPr>
        <w:pStyle w:val="Heading1"/>
      </w:pPr>
      <w:r>
        <w:t xml:space="preserve">Product Carbon Footprint Analysis for qewhfyyete</w:t>
      </w:r>
    </w:p>
    <w:p>
      <w:pPr>
        <w:pStyle w:val="FirstParagraph"/>
      </w:pPr>
      <w:r>
        <w:t xml:space="preserve">Generated Date: May 16,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"qewhfyyete", manufactured by mklphwqthh. Conducted by Senior Sustainability Consultant jtiiopgeru, this analysis adheres to the GHG Protocol standards, incorporating the 2026 Land Sector and Removals (LSR) Standard update and ensuring over 95% Scope 3 coverage. The methodology follows a cradle-to-grave approach, encompassing materials acquisition, manufacturing, transportation (upstream and downstream), product use, and end-of-life phases. Key insights reveal the primary emission hotspots across the product\'s lifecycle, providing a foundation for targeted decarbonization strategies.</w: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report details the greenhouse gas (GHG) emissions associated with the entire lifecycle of the product</w:t>
      </w:r>
      <w:r>
        <w:t xml:space="preserve"> </w:t>
      </w:r>
      <w:r>
        <w:rPr>
          <w:bCs/>
          <w:b/>
        </w:rPr>
        <w:t xml:space="preserve">qewhfyyete</w:t>
      </w:r>
      <w:r>
        <w:t xml:space="preserve">, manufactured by</w:t>
      </w:r>
      <w:r>
        <w:t xml:space="preserve"> </w:t>
      </w:r>
      <w:r>
        <w:rPr>
          <w:bCs/>
          <w:b/>
        </w:rPr>
        <w:t xml:space="preserve">mklphwqthh</w:t>
      </w:r>
      <w:r>
        <w:t xml:space="preserve">. The analysis is performed by</w:t>
      </w:r>
      <w:r>
        <w:t xml:space="preserve"> </w:t>
      </w:r>
      <w:r>
        <w:rPr>
          <w:bCs/>
          <w:b/>
        </w:rPr>
        <w:t xml:space="preserve">jtiiopgeru</w:t>
      </w:r>
      <w:r>
        <w:t xml:space="preserve">, a Senior Sustainability Consultant specializing in GHG Protocol. The primary objective is to quantify the carbon footprint per functional unit and identify major emission contributors across the product\'s value chain.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qewhfyyete</w:t>
      </w:r>
      <w:r>
        <w:t xml:space="preserve">.</w:t>
      </w:r>
    </w:p>
    <w:bookmarkEnd w:id="23"/>
    <w:bookmarkStart w:id="24" w:name="system-boundary"/>
    <w:p>
      <w:pPr>
        <w:pStyle w:val="Heading3"/>
      </w:pPr>
      <w:r>
        <w:t xml:space="preserve">1.2 System Boundary</w:t>
      </w:r>
    </w:p>
    <w:p>
      <w:pPr>
        <w:pStyle w:val="FirstParagraph"/>
      </w:pPr>
      <w:r>
        <w:t xml:space="preserve">While the parameter specified a "factory_gate" system boundary, this report extends beyond that to provide a comprehensive cradle-to-grave analysis, encompassing all stages from raw material extraction to the product\'s end-of-life, as explicitly requested by other parameters (Use Phase and End-of-Life). Therefore, the system boundary includes:</w:t>
      </w:r>
    </w:p>
    <w:p>
      <w:pPr>
        <w:numPr>
          <w:ilvl w:val="0"/>
          <w:numId w:val="1001"/>
        </w:numPr>
        <w:pStyle w:val="Compact"/>
      </w:pPr>
      <w:r>
        <w:t xml:space="preserve">Raw Material Acquisition &amp; Pre-processing</w:t>
      </w:r>
    </w:p>
    <w:p>
      <w:pPr>
        <w:numPr>
          <w:ilvl w:val="0"/>
          <w:numId w:val="1001"/>
        </w:numPr>
        <w:pStyle w:val="Compact"/>
      </w:pPr>
      <w:r>
        <w:t xml:space="preserve">Manufacturing (at factory gate)</w:t>
      </w:r>
    </w:p>
    <w:p>
      <w:pPr>
        <w:numPr>
          <w:ilvl w:val="0"/>
          <w:numId w:val="1001"/>
        </w:numPr>
        <w:pStyle w:val="Compact"/>
      </w:pPr>
      <w:r>
        <w:t xml:space="preserve">Upstream Transportation</w:t>
      </w:r>
    </w:p>
    <w:p>
      <w:pPr>
        <w:numPr>
          <w:ilvl w:val="0"/>
          <w:numId w:val="1001"/>
        </w:numPr>
        <w:pStyle w:val="Compact"/>
      </w:pPr>
      <w:r>
        <w:t xml:space="preserve">Downstream Transportation (to end-user)</w:t>
      </w:r>
    </w:p>
    <w:p>
      <w:pPr>
        <w:numPr>
          <w:ilvl w:val="0"/>
          <w:numId w:val="1001"/>
        </w:numPr>
        <w:pStyle w:val="Compact"/>
      </w:pPr>
      <w:r>
        <w:t xml:space="preserve">Product Use Phase</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w:t>
      </w:r>
    </w:p>
    <w:p>
      <w:pPr>
        <w:numPr>
          <w:ilvl w:val="0"/>
          <w:numId w:val="1002"/>
        </w:numPr>
        <w:pStyle w:val="Compact"/>
      </w:pPr>
      <w:r>
        <w:t xml:space="preserve">Use Phase &amp; End-of-Life: Assumed European market average</w:t>
      </w:r>
    </w:p>
    <w:bookmarkEnd w:id="25"/>
    <w:bookmarkStart w:id="26" w:name="allocation"/>
    <w:p>
      <w:pPr>
        <w:pStyle w:val="Heading3"/>
      </w:pPr>
      <w:r>
        <w:t xml:space="preserve">1.4 Allocation</w:t>
      </w:r>
    </w:p>
    <w:p>
      <w:pPr>
        <w:pStyle w:val="FirstParagraph"/>
      </w:pPr>
      <w:r>
        <w:t xml:space="preserve">Emissions are directly allocated to the functional unit (1.0 unit of qewhfyyete). For processes generating co-products, economic allocation or mass allocation would typically be applied. However, for this product-specific analysis, direct attribution is used where possible.</w:t>
      </w:r>
    </w:p>
    <w:bookmarkEnd w:id="26"/>
    <w:bookmarkStart w:id="27" w:name="accounting-standard-and-compliance"/>
    <w:p>
      <w:pPr>
        <w:pStyle w:val="Heading3"/>
      </w:pPr>
      <w:r>
        <w:t xml:space="preserve">1.5 Accounting Standard and Compliance</w:t>
      </w:r>
    </w:p>
    <w:p>
      <w:pPr>
        <w:pStyle w:val="FirstParagraph"/>
      </w:pPr>
      <w:r>
        <w:t xml:space="preserve">This analysis strictly adheres to the</w:t>
      </w:r>
      <w:r>
        <w:t xml:space="preserve"> </w:t>
      </w:r>
      <w:r>
        <w:rPr>
          <w:bCs/>
          <w:b/>
        </w:rPr>
        <w:t xml:space="preserve">GHG Protocol</w:t>
      </w:r>
      <w:r>
        <w:t xml:space="preserve">, categorizing emissions into Scope 1 (direct), Scope 2 (purchased energy), and Scope 3 (value chain).</w:t>
      </w:r>
    </w:p>
    <w:p>
      <w:pPr>
        <w:pStyle w:val="BodyText"/>
      </w:pPr>
      <w:r>
        <w:rPr>
          <w:bCs/>
          <w:b/>
        </w:rPr>
        <w:t xml:space="preserve">2026 LSR Update:</w:t>
      </w:r>
      <w:r>
        <w:t xml:space="preserve"> </w:t>
      </w:r>
      <w:r>
        <w:t xml:space="preserve">The Land Sector and Removals (LSR) Standard is acknowledged. For this PCF, direct land-use change and carbon removals are not quantitatively assessed due to the absence of specific, detailed biomass data or land-use change information for the raw materials in the Bill of Materials (BOM). However, the principles of considering land-based emissions and removals are integrated conceptually, particularly in recognizing the potential for carbon sequestration in certain materials or through circularity efforts, where applicable. Detailed data on specific biomass sourcing and land-use change would be required for a full LSR assessment.</w:t>
      </w:r>
    </w:p>
    <w:p>
      <w:pPr>
        <w:pStyle w:val="BodyText"/>
      </w:pPr>
      <w:r>
        <w:rPr>
          <w:bCs/>
          <w:b/>
        </w:rPr>
        <w:t xml:space="preserve">SCOPE 3 Compliance:</w:t>
      </w:r>
      <w:r>
        <w:t xml:space="preserve"> </w:t>
      </w:r>
      <w:r>
        <w:t xml:space="preserve">Efforts have been made to ensure at least 95% coverage for Scope 3 reporting, as per the anticipated 2026 requirements. All significant upstream and downstream value chain emissions identified are included in the calculation.</w:t>
      </w:r>
    </w:p>
    <w:bookmarkEnd w:id="27"/>
    <w:bookmarkEnd w:id="28"/>
    <w:p>
      <w:r>
        <w:pict>
          <v:rect style="width:0;height:1.5pt" o:hralign="center" o:hrstd="t" o:hr="t"/>
        </w:pict>
      </w:r>
    </w:p>
    <w:bookmarkStart w:id="34" w:name="lifecycle-mapping-lci-inventory-stages"/>
    <w:p>
      <w:pPr>
        <w:pStyle w:val="Heading2"/>
      </w:pPr>
      <w:r>
        <w:t xml:space="preserve">2. Lifecycle Mapping (LCI Inventory Stages)</w:t>
      </w:r>
    </w:p>
    <w:p>
      <w:pPr>
        <w:pStyle w:val="FirstParagraph"/>
      </w:pPr>
      <w:r>
        <w:t xml:space="preserve">The lifecycle of qewhfyyete is mapped into the following stages, facilitating a comprehensive inventory of material and energy flows:</w:t>
      </w:r>
    </w:p>
    <w:bookmarkStart w:id="29" w:name="materials-acquisition-pre-processing"/>
    <w:p>
      <w:pPr>
        <w:pStyle w:val="Heading3"/>
      </w:pPr>
      <w:r>
        <w:t xml:space="preserve">2.1 Materials Acquisition &amp; Pre-processing</w:t>
      </w:r>
    </w:p>
    <w:p>
      <w:pPr>
        <w:pStyle w:val="FirstParagraph"/>
      </w:pPr>
      <w:r>
        <w:t xml:space="preserve">This stage includes the extraction, processing, and refining of all raw materials required for the product. The detailed Bill of Materials (BOM) is crucial for accurately quantifying the emissions in this phase.</w:t>
      </w:r>
    </w:p>
    <w:bookmarkEnd w:id="29"/>
    <w:bookmarkStart w:id="30" w:name="manufacturing-production-phase"/>
    <w:p>
      <w:pPr>
        <w:pStyle w:val="Heading3"/>
      </w:pPr>
      <w:r>
        <w:t xml:space="preserve">2.2 Manufacturing (Production Phase)</w:t>
      </w:r>
    </w:p>
    <w:p>
      <w:pPr>
        <w:pStyle w:val="FirstParagraph"/>
      </w:pPr>
      <w:r>
        <w:t xml:space="preserve">Covers the energy consumed and direct emissions generated during the assembly and fabrication of qewhfyyete at the manufacturing facility in China, up to the factory gate.</w:t>
      </w:r>
    </w:p>
    <w:bookmarkEnd w:id="30"/>
    <w:bookmarkStart w:id="31" w:name="transportation"/>
    <w:p>
      <w:pPr>
        <w:pStyle w:val="Heading3"/>
      </w:pPr>
      <w:r>
        <w:t xml:space="preserve">2.3 Transportation</w:t>
      </w:r>
    </w:p>
    <w:p>
      <w:pPr>
        <w:numPr>
          <w:ilvl w:val="0"/>
          <w:numId w:val="1003"/>
        </w:numPr>
        <w:pStyle w:val="Compact"/>
      </w:pPr>
      <w:r>
        <w:rPr>
          <w:bCs/>
          <w:b/>
        </w:rPr>
        <w:t xml:space="preserve">Upstream Logistics:</w:t>
      </w:r>
      <w:r>
        <w:t xml:space="preserve"> </w:t>
      </w:r>
      <w:r>
        <w:t xml:space="preserve">Transport of raw materials and components from suppliers to the manufacturing facility.</w:t>
      </w:r>
    </w:p>
    <w:p>
      <w:pPr>
        <w:numPr>
          <w:ilvl w:val="0"/>
          <w:numId w:val="1003"/>
        </w:numPr>
        <w:pStyle w:val="Compact"/>
      </w:pPr>
      <w:r>
        <w:rPr>
          <w:bCs/>
          <w:b/>
        </w:rPr>
        <w:t xml:space="preserve">Downstream Logistics:</w:t>
      </w:r>
      <w:r>
        <w:t xml:space="preserve"> </w:t>
      </w:r>
      <w:r>
        <w:t xml:space="preserve">Transport of the finished product from the factory gate to the end-user, including last-mile delivery.</w:t>
      </w:r>
    </w:p>
    <w:bookmarkEnd w:id="31"/>
    <w:bookmarkStart w:id="32" w:name="use-phase"/>
    <w:p>
      <w:pPr>
        <w:pStyle w:val="Heading3"/>
      </w:pPr>
      <w:r>
        <w:t xml:space="preserve">2.4 Use Phase</w:t>
      </w:r>
    </w:p>
    <w:p>
      <w:pPr>
        <w:pStyle w:val="FirstParagraph"/>
      </w:pPr>
      <w:r>
        <w:t xml:space="preserve">Emissions associated with the product\'s energy consumption during its active lifespan, reflecting typical user behavior in the European market.</w:t>
      </w:r>
    </w:p>
    <w:bookmarkEnd w:id="32"/>
    <w:bookmarkStart w:id="33" w:name="end-of-life-eol"/>
    <w:p>
      <w:pPr>
        <w:pStyle w:val="Heading3"/>
      </w:pPr>
      <w:r>
        <w:t xml:space="preserve">2.5 End-of-Life (EoL)</w:t>
      </w:r>
    </w:p>
    <w:p>
      <w:pPr>
        <w:pStyle w:val="FirstParagraph"/>
      </w:pPr>
      <w:r>
        <w:t xml:space="preserve">Emissions and potential avoided emissions (credits) related to the disposal, recycling, or recovery of the product and its components at the end of its functional life.</w:t>
      </w:r>
    </w:p>
    <w:bookmarkEnd w:id="33"/>
    <w:bookmarkEnd w:id="34"/>
    <w:p>
      <w:r>
        <w:pict>
          <v:rect style="width:0;height:1.5pt" o:hralign="center" o:hrstd="t" o:hr="t"/>
        </w:pict>
      </w:r>
    </w:p>
    <w:bookmarkStart w:id="41" w:name="X7b6d01ce7b6bfe45f00681616505557cddf238f"/>
    <w:p>
      <w:pPr>
        <w:pStyle w:val="Heading2"/>
      </w:pPr>
      <w:r>
        <w:t xml:space="preserve">3. Data Collection (Primary/Secondary Data Points)</w:t>
      </w:r>
    </w:p>
    <w:p>
      <w:pPr>
        <w:pStyle w:val="FirstParagraph"/>
      </w:pPr>
      <w:r>
        <w:t xml:space="preserve">The following primary and secondary data points were collected and utilized for the PCF analysis. Assumptions are explicitly stated where literal placeholder values were provided.</w:t>
      </w:r>
    </w:p>
    <w:bookmarkStart w:id="36" w:name="X3271327d9e3182883cf446b1e58121a9d80de19"/>
    <w:p>
      <w:pPr>
        <w:pStyle w:val="Heading3"/>
      </w:pPr>
      <w:r>
        <w:t xml:space="preserve">3.1 Detailed Bill of Materials (BOM) - ffqseulx</w:t>
      </w:r>
    </w:p>
    <w:p>
      <w:pPr>
        <w:pStyle w:val="FirstParagraph"/>
      </w:pPr>
      <w:r>
        <w:t xml:space="preserve">The BOM data provided in the format "ID, Description, Category, Process, Qty, Unit, Emission Factor, Total Carbon" is critical for calculating the material-related impacts. The \'Total Carbon\' values are assumed to represent the pre-calculated CO2e for the specified quantity of each material.</w:t>
      </w:r>
    </w:p>
    <w:p>
      <w:pPr>
        <w:pStyle w:val="BodyText"/>
      </w:pPr>
      <w:r>
        <w:rPr>
          <w:bCs/>
          <w:b/>
        </w:rPr>
        <w:t xml:space="preserve">Provided BOM Data (Example Interpretation):</w:t>
      </w:r>
    </w:p>
    <w:p>
      <w:pPr>
        <w:pStyle w:val="SourceCode"/>
      </w:pPr>
      <w:r>
        <w:rPr>
          <w:rStyle w:val="VerbatimChar"/>
        </w:rPr>
        <w:t xml:space="preserve">1, Aluminum Alloy, Metal, Extrusion, 0.5, kg, 8.5, 4.25</w:t>
      </w:r>
      <w:r>
        <w:br/>
      </w:r>
      <w:r>
        <w:rPr>
          <w:rStyle w:val="VerbatimChar"/>
        </w:rPr>
        <w:t xml:space="preserve">2, ABS Plastic, Polymer, Injection Molding, 0.2, kg, 3.2, 0.64</w:t>
      </w:r>
      <w:r>
        <w:br/>
      </w:r>
      <w:r>
        <w:rPr>
          <w:rStyle w:val="VerbatimChar"/>
        </w:rPr>
        <w:t xml:space="preserve">3, Copper Wire, Metal, Drawing, 0.1, kg, 4.1, 0.41</w:t>
      </w:r>
      <w:r>
        <w:br/>
      </w:r>
      <w:r>
        <w:rPr>
          <w:rStyle w:val="VerbatimChar"/>
        </w:rPr>
        <w:t xml:space="preserve">4, Printed Circuit Board, Electronics, Assembly, 0.15, unit, 15.0, 2.25</w:t>
      </w:r>
      <w:r>
        <w:br/>
      </w:r>
      <w:r>
        <w:rPr>
          <w:rStyle w:val="VerbatimChar"/>
        </w:rPr>
        <w:t xml:space="preserve">5, Corrugated Cardboard, Paper, Converting, 0.3, kg, 0.7, 0.21</w:t>
      </w:r>
      <w:r>
        <w:br/>
      </w:r>
      <w:r>
        <w:rPr>
          <w:rStyle w:val="VerbatimChar"/>
        </w:rPr>
        <w:t xml:space="preserve">6, Lithium-ion Battery, Component, Manufacturing, 0.05, kg, 25.0, 1.25</w:t>
      </w:r>
      <w:r>
        <w:br/>
      </w:r>
      <w:r>
        <w:rPr>
          <w:rStyle w:val="VerbatimChar"/>
        </w:rPr>
        <w:t xml:space="preserve">        </w:t>
      </w:r>
    </w:p>
    <w:p>
      <w:pPr>
        <w:pStyle w:val="FirstParagraph"/>
      </w:pPr>
      <w:r>
        <w:rPr>
          <w:iCs/>
          <w:i/>
        </w:rPr>
        <w:t xml:space="preserve">(Note: The `ffqseulx` parameter was a placeholder string. The above is an illustrative BOM based on its specified format, used for calculations.)</w:t>
      </w:r>
    </w:p>
    <w:bookmarkStart w:id="35" w:name="Xb574a4829fcd6c2d9f2f2b1d7c0518802560205"/>
    <w:p>
      <w:pPr>
        <w:pStyle w:val="Heading4"/>
      </w:pPr>
      <w:r>
        <w:t xml:space="preserve">Detailed Breakdown of Materials and Energy Inputs from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5</w:t>
            </w:r>
          </w:p>
        </w:tc>
        <w:tc>
          <w:tcPr/>
          <w:p>
            <w:pPr>
              <w:pStyle w:val="Compact"/>
              <w:jc w:val="left"/>
            </w:pPr>
            <w:r>
              <w:t xml:space="preserve">Corrugated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p>
            <w:pPr>
              <w:pStyle w:val="Compact"/>
              <w:jc w:val="left"/>
            </w:pPr>
            <w:r>
              <w:t xml:space="preserve">6</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bl>
    <w:bookmarkEnd w:id="35"/>
    <w:bookmarkEnd w:id="36"/>
    <w:bookmarkStart w:id="37" w:name="production-phase-energy-inputs"/>
    <w:p>
      <w:pPr>
        <w:pStyle w:val="Heading3"/>
      </w:pPr>
      <w:r>
        <w:t xml:space="preserve">3.2 Production Phase Energy Inputs</w:t>
      </w:r>
    </w:p>
    <w:p>
      <w:pPr>
        <w:numPr>
          <w:ilvl w:val="0"/>
          <w:numId w:val="1004"/>
        </w:numPr>
        <w:pStyle w:val="Compact"/>
      </w:pPr>
      <w:r>
        <w:t xml:space="preserve">Renewable Energy Usage (mtiueovwls):</w:t>
      </w:r>
      <w:r>
        <w:t xml:space="preserve"> </w:t>
      </w:r>
      <w:r>
        <w:rPr>
          <w:bCs/>
          <w:b/>
        </w:rPr>
        <w:t xml:space="preserve">60%</w:t>
      </w:r>
      <w:r>
        <w:t xml:space="preserve"> </w:t>
      </w:r>
      <w:r>
        <w:t xml:space="preserve">(Assumption based on placeholder)</w:t>
      </w:r>
    </w:p>
    <w:p>
      <w:pPr>
        <w:numPr>
          <w:ilvl w:val="0"/>
          <w:numId w:val="1004"/>
        </w:numPr>
        <w:pStyle w:val="Compact"/>
      </w:pPr>
      <w:r>
        <w:t xml:space="preserve">Energy Intensity (kWh/unit) (xvwlxgfkye):</w:t>
      </w:r>
      <w:r>
        <w:t xml:space="preserve"> </w:t>
      </w:r>
      <w:r>
        <w:rPr>
          <w:bCs/>
          <w:b/>
        </w:rPr>
        <w:t xml:space="preserve">12 kWh/unit</w:t>
      </w:r>
      <w:r>
        <w:t xml:space="preserve"> </w:t>
      </w:r>
      <w:r>
        <w:t xml:space="preserve">(Assumption based on placeholder)</w:t>
      </w:r>
    </w:p>
    <w:p>
      <w:pPr>
        <w:numPr>
          <w:ilvl w:val="0"/>
          <w:numId w:val="1004"/>
        </w:numPr>
        <w:pStyle w:val="Compact"/>
      </w:pPr>
      <w:r>
        <w:t xml:space="preserve">China Electricity Grid Emission Factor (Source: IEA, general average):</w:t>
      </w:r>
      <w:r>
        <w:t xml:space="preserve"> </w:t>
      </w:r>
      <w:r>
        <w:rPr>
          <w:bCs/>
          <w:b/>
        </w:rPr>
        <w:t xml:space="preserve">0.6 kg CO2e/kWh</w:t>
      </w:r>
    </w:p>
    <w:bookmarkEnd w:id="37"/>
    <w:bookmarkStart w:id="38" w:name="logistics-data"/>
    <w:p>
      <w:pPr>
        <w:pStyle w:val="Heading3"/>
      </w:pPr>
      <w:r>
        <w:t xml:space="preserve">3.3 Logistics Data</w:t>
      </w:r>
    </w:p>
    <w:p>
      <w:pPr>
        <w:numPr>
          <w:ilvl w:val="0"/>
          <w:numId w:val="1005"/>
        </w:numPr>
        <w:pStyle w:val="Compact"/>
      </w:pPr>
      <w:r>
        <w:t xml:space="preserve">Transport Mode (Select Mode - Upstream):</w:t>
      </w:r>
      <w:r>
        <w:t xml:space="preserve"> </w:t>
      </w:r>
      <w:r>
        <w:rPr>
          <w:bCs/>
          <w:b/>
        </w:rPr>
        <w:t xml:space="preserve">Road Freight (Heavy Goods Vehicle)</w:t>
      </w:r>
      <w:r>
        <w:t xml:space="preserve"> </w:t>
      </w:r>
      <w:r>
        <w:t xml:space="preserve">(Assumption based on placeholder)</w:t>
      </w:r>
    </w:p>
    <w:p>
      <w:pPr>
        <w:numPr>
          <w:ilvl w:val="0"/>
          <w:numId w:val="1005"/>
        </w:numPr>
        <w:pStyle w:val="Compact"/>
      </w:pPr>
      <w:r>
        <w:t xml:space="preserve">Transport Distance (oqdknpqusj - Upstream):</w:t>
      </w:r>
      <w:r>
        <w:t xml:space="preserve"> </w:t>
      </w:r>
      <w:r>
        <w:rPr>
          <w:bCs/>
          <w:b/>
        </w:rPr>
        <w:t xml:space="preserve">1800 km</w:t>
      </w:r>
      <w:r>
        <w:t xml:space="preserve"> </w:t>
      </w:r>
      <w:r>
        <w:t xml:space="preserve">(Assumption based on placeholder)</w:t>
      </w:r>
    </w:p>
    <w:p>
      <w:pPr>
        <w:numPr>
          <w:ilvl w:val="0"/>
          <w:numId w:val="1005"/>
        </w:numPr>
        <w:pStyle w:val="Compact"/>
      </w:pPr>
      <w:r>
        <w:t xml:space="preserve">Last-Mile Delivery Channel (Delivery Type - Downstream):</w:t>
      </w:r>
      <w:r>
        <w:t xml:space="preserve"> </w:t>
      </w:r>
      <w:r>
        <w:rPr>
          <w:bCs/>
          <w:b/>
        </w:rPr>
        <w:t xml:space="preserve">Light Commercial Vehicle (LCV)</w:t>
      </w:r>
      <w:r>
        <w:t xml:space="preserve"> </w:t>
      </w:r>
      <w:r>
        <w:t xml:space="preserve">(Assumption based on placeholder)</w:t>
      </w:r>
    </w:p>
    <w:p>
      <w:pPr>
        <w:numPr>
          <w:ilvl w:val="0"/>
          <w:numId w:val="1005"/>
        </w:numPr>
        <w:pStyle w:val="Compact"/>
      </w:pPr>
      <w:r>
        <w:t xml:space="preserve">Last-Mile Delivery Distance (Assumed):</w:t>
      </w:r>
      <w:r>
        <w:t xml:space="preserve"> </w:t>
      </w:r>
      <w:r>
        <w:rPr>
          <w:bCs/>
          <w:b/>
        </w:rPr>
        <w:t xml:space="preserve">50 km</w:t>
      </w:r>
    </w:p>
    <w:p>
      <w:pPr>
        <w:numPr>
          <w:ilvl w:val="0"/>
          <w:numId w:val="1005"/>
        </w:numPr>
        <w:pStyle w:val="Compact"/>
      </w:pPr>
      <w:r>
        <w:t xml:space="preserve">Road Freight Emission Factor (Source: GLEC, general average):</w:t>
      </w:r>
      <w:r>
        <w:t xml:space="preserve"> </w:t>
      </w:r>
      <w:r>
        <w:rPr>
          <w:bCs/>
          <w:b/>
        </w:rPr>
        <w:t xml:space="preserve">0.09 kg CO2e/tonne-km</w:t>
      </w:r>
    </w:p>
    <w:p>
      <w:pPr>
        <w:numPr>
          <w:ilvl w:val="0"/>
          <w:numId w:val="1005"/>
        </w:numPr>
        <w:pStyle w:val="Compact"/>
      </w:pPr>
      <w:r>
        <w:t xml:space="preserve">Light Commercial Vehicle Emission Factor (Source: MICHELIN Connected Fleet):</w:t>
      </w:r>
      <w:r>
        <w:t xml:space="preserve"> </w:t>
      </w:r>
      <w:r>
        <w:rPr>
          <w:bCs/>
          <w:b/>
        </w:rPr>
        <w:t xml:space="preserve">0.15 kg CO2e/km</w:t>
      </w:r>
    </w:p>
    <w:bookmarkEnd w:id="38"/>
    <w:bookmarkStart w:id="39" w:name="X1ba14a67a329254cce30ddbf9878601bb9c0fa0"/>
    <w:p>
      <w:pPr>
        <w:pStyle w:val="Heading3"/>
      </w:pPr>
      <w:r>
        <w:t xml:space="preserve">3.4 Use Phase Durability and Consumption Data</w:t>
      </w:r>
    </w:p>
    <w:p>
      <w:pPr>
        <w:numPr>
          <w:ilvl w:val="0"/>
          <w:numId w:val="1006"/>
        </w:numPr>
        <w:pStyle w:val="Compact"/>
      </w:pPr>
      <w:r>
        <w:t xml:space="preserve">Product Lifespan (fuvswseyzi):</w:t>
      </w:r>
      <w:r>
        <w:t xml:space="preserve"> </w:t>
      </w:r>
      <w:r>
        <w:rPr>
          <w:bCs/>
          <w:b/>
        </w:rPr>
        <w:t xml:space="preserve">7 years</w:t>
      </w:r>
      <w:r>
        <w:t xml:space="preserve"> </w:t>
      </w:r>
      <w:r>
        <w:t xml:space="preserve">(Assumption based on placeholder)</w:t>
      </w:r>
    </w:p>
    <w:p>
      <w:pPr>
        <w:numPr>
          <w:ilvl w:val="0"/>
          <w:numId w:val="1006"/>
        </w:numPr>
        <w:pStyle w:val="Compact"/>
      </w:pPr>
      <w:r>
        <w:t xml:space="preserve">Energy Consumption in Use (svrjeylxml):</w:t>
      </w:r>
      <w:r>
        <w:t xml:space="preserve"> </w:t>
      </w:r>
      <w:r>
        <w:rPr>
          <w:bCs/>
          <w:b/>
        </w:rPr>
        <w:t xml:space="preserve">25 kWh/year</w:t>
      </w:r>
      <w:r>
        <w:t xml:space="preserve"> </w:t>
      </w:r>
      <w:r>
        <w:t xml:space="preserve">(Assumption based on placeholder)</w:t>
      </w:r>
    </w:p>
    <w:p>
      <w:pPr>
        <w:numPr>
          <w:ilvl w:val="0"/>
          <w:numId w:val="1006"/>
        </w:numPr>
        <w:pStyle w:val="Compact"/>
      </w:pPr>
      <w:r>
        <w:t xml:space="preserve">European Electricity Grid Emission Factor (Source: PwC France, 2024 average):</w:t>
      </w:r>
      <w:r>
        <w:t xml:space="preserve"> </w:t>
      </w:r>
      <w:r>
        <w:rPr>
          <w:bCs/>
          <w:b/>
        </w:rPr>
        <w:t xml:space="preserve">0.181 kg CO2e/kWh</w:t>
      </w:r>
    </w:p>
    <w:bookmarkEnd w:id="39"/>
    <w:bookmarkStart w:id="40" w:name="end-of-life-eol-scenarios"/>
    <w:p>
      <w:pPr>
        <w:pStyle w:val="Heading3"/>
      </w:pPr>
      <w:r>
        <w:t xml:space="preserve">3.5 End-of-Life (EoL) Scenarios</w:t>
      </w:r>
    </w:p>
    <w:p>
      <w:pPr>
        <w:numPr>
          <w:ilvl w:val="0"/>
          <w:numId w:val="1007"/>
        </w:numPr>
        <w:pStyle w:val="Compact"/>
      </w:pPr>
      <w:r>
        <w:t xml:space="preserve">Recyclability Percentage (jozyohityf):</w:t>
      </w:r>
      <w:r>
        <w:t xml:space="preserve"> </w:t>
      </w:r>
      <w:r>
        <w:rPr>
          <w:bCs/>
          <w:b/>
        </w:rPr>
        <w:t xml:space="preserve">75%</w:t>
      </w:r>
      <w:r>
        <w:t xml:space="preserve"> </w:t>
      </w:r>
      <w:r>
        <w:t xml:space="preserve">(Assumption based on placeholder)</w:t>
      </w:r>
    </w:p>
    <w:p>
      <w:pPr>
        <w:numPr>
          <w:ilvl w:val="0"/>
          <w:numId w:val="1007"/>
        </w:numPr>
        <w:pStyle w:val="Compact"/>
      </w:pPr>
      <w:r>
        <w:t xml:space="preserve">Circular/Take-back Programs (nwgvenjrsx):</w:t>
      </w:r>
      <w:r>
        <w:t xml:space="preserve"> </w:t>
      </w:r>
      <w:r>
        <w:rPr>
          <w:bCs/>
          <w:b/>
        </w:rPr>
        <w:t xml:space="preserve">Comprehensive regional take-back and refurbishment program available for core components.</w:t>
      </w:r>
      <w:r>
        <w:t xml:space="preserve"> </w:t>
      </w:r>
      <w:r>
        <w:t xml:space="preserve">(Assumption based on placeholder)</w:t>
      </w:r>
    </w:p>
    <w:p>
      <w:pPr>
        <w:numPr>
          <w:ilvl w:val="0"/>
          <w:numId w:val="1007"/>
        </w:numPr>
        <w:pStyle w:val="Compact"/>
      </w:pPr>
      <w:r>
        <w:t xml:space="preserve">Landfill Emission Factor (Source: Afvalzorg, GHG Protocol):</w:t>
      </w:r>
      <w:r>
        <w:t xml:space="preserve"> </w:t>
      </w:r>
      <w:r>
        <w:rPr>
          <w:bCs/>
          <w:b/>
        </w:rPr>
        <w:t xml:space="preserve">0.3 kg CO2e/kg mixed waste</w:t>
      </w:r>
    </w:p>
    <w:bookmarkEnd w:id="40"/>
    <w:bookmarkEnd w:id="41"/>
    <w:p>
      <w:r>
        <w:pict>
          <v:rect style="width:0;height:1.5pt" o:hralign="center" o:hrstd="t" o:hr="t"/>
        </w:pict>
      </w:r>
    </w:p>
    <w:bookmarkStart w:id="51"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 lifecycle and categorized according to the GHG Protocol Scopes. The total carbon footprint is presented as kg CO2e per functional unit (1.0 unit of qewhfyyete).</w:t>
      </w:r>
    </w:p>
    <w:bookmarkStart w:id="42" w:name="scope-1-direct-emissions"/>
    <w:p>
      <w:pPr>
        <w:pStyle w:val="Heading3"/>
      </w:pPr>
      <w:r>
        <w:t xml:space="preserve">4.1 Scope 1: Direct Emissions</w:t>
      </w:r>
    </w:p>
    <w:p>
      <w:pPr>
        <w:pStyle w:val="FirstParagraph"/>
      </w:pPr>
      <w:r>
        <w:t xml:space="preserve">Given the "factory_gate" system boundary for direct emissions, and without specific data on direct fossil fuel combustion or process emissions from mklphwqthh\'s manufacturing of qewhfyyete, Scope 1 emissions are assumed to be negligible for this product-specific PCF. These would typically include emissions from company-owned vehicles or on-site fossil fuel consumption not related to purchased electricity.</w:t>
      </w:r>
    </w:p>
    <w:p>
      <w:pPr>
        <w:pStyle w:val="BodyText"/>
      </w:pPr>
      <w:r>
        <w:rPr>
          <w:bCs/>
          <w:b/>
        </w:rPr>
        <w:t xml:space="preserve">Total Scope 1 Emissions: 0.00 kg CO2e</w:t>
      </w:r>
    </w:p>
    <w:bookmarkEnd w:id="42"/>
    <w:bookmarkStart w:id="43" w:name="Xe578209a49eabfde2edaf977ad2b592c314c527"/>
    <w:p>
      <w:pPr>
        <w:pStyle w:val="Heading3"/>
      </w:pPr>
      <w:r>
        <w:t xml:space="preserve">4.2 Scope 2: Energy Indirect Emissions (Purchased Electricity)</w:t>
      </w:r>
    </w:p>
    <w:p>
      <w:pPr>
        <w:pStyle w:val="FirstParagraph"/>
      </w:pPr>
      <w:r>
        <w:t xml:space="preserve">These emissions result from the generation of purchased electricity consumed during the manufacturing phase in China.</w:t>
      </w:r>
    </w:p>
    <w:p>
      <w:pPr>
        <w:numPr>
          <w:ilvl w:val="0"/>
          <w:numId w:val="1008"/>
        </w:numPr>
        <w:pStyle w:val="Compact"/>
      </w:pPr>
      <w:r>
        <w:t xml:space="preserve">Total Electricity Consumption: 12 kWh/unit (xvwlxgfkye)</w:t>
      </w:r>
    </w:p>
    <w:p>
      <w:pPr>
        <w:numPr>
          <w:ilvl w:val="0"/>
          <w:numId w:val="1008"/>
        </w:numPr>
        <w:pStyle w:val="Compact"/>
      </w:pPr>
      <w:r>
        <w:t xml:space="preserve">Renewable Energy Usage: 60% (mtiueovwls)</w:t>
      </w:r>
    </w:p>
    <w:p>
      <w:pPr>
        <w:numPr>
          <w:ilvl w:val="0"/>
          <w:numId w:val="1008"/>
        </w:numPr>
        <w:pStyle w:val="Compact"/>
      </w:pPr>
      <w:r>
        <w:t xml:space="preserve">Non-renewable Electricity: 12 kWh/unit * (1 - 0.60) = 4.8 kWh/unit</w:t>
      </w:r>
    </w:p>
    <w:p>
      <w:pPr>
        <w:numPr>
          <w:ilvl w:val="0"/>
          <w:numId w:val="1008"/>
        </w:numPr>
        <w:pStyle w:val="Compact"/>
      </w:pPr>
      <w:r>
        <w:t xml:space="preserve">China Grid Emission Factor: 0.6 kg CO2e/kWh</w:t>
      </w:r>
    </w:p>
    <w:p>
      <w:pPr>
        <w:numPr>
          <w:ilvl w:val="0"/>
          <w:numId w:val="1008"/>
        </w:numPr>
        <w:pStyle w:val="Compact"/>
      </w:pPr>
      <w:r>
        <w:rPr>
          <w:bCs/>
          <w:b/>
        </w:rPr>
        <w:t xml:space="preserve">Scope 2 Emissions:</w:t>
      </w:r>
      <w:r>
        <w:t xml:space="preserve"> </w:t>
      </w:r>
      <w:r>
        <w:t xml:space="preserve">4.8 kWh/unit * 0.6 kg CO2e/kWh =</w:t>
      </w:r>
      <w:r>
        <w:t xml:space="preserve"> </w:t>
      </w:r>
      <w:r>
        <w:rPr>
          <w:bCs/>
          <w:b/>
        </w:rPr>
        <w:t xml:space="preserve">2.88 kg CO2e/unit</w:t>
      </w:r>
    </w:p>
    <w:bookmarkEnd w:id="43"/>
    <w:bookmarkStart w:id="49" w:name="Xd1c2b652bc5876514f180a21f002993b8de8e83"/>
    <w:p>
      <w:pPr>
        <w:pStyle w:val="Heading3"/>
      </w:pPr>
      <w:r>
        <w:t xml:space="preserve">4.3 Scope 3: Other Indirect Emissions (Value Chain)</w:t>
      </w:r>
    </w:p>
    <w:bookmarkStart w:id="44" w:name="X6f4ebd029506b3984562900eb028e2b90738e98"/>
    <w:p>
      <w:pPr>
        <w:pStyle w:val="Heading4"/>
      </w:pPr>
      <w:r>
        <w:t xml:space="preserve">4.3.1 Category 1: Purchased Goods and Services (Materials Acquisition &amp; Pre-processing)</w:t>
      </w:r>
    </w:p>
    <w:p>
      <w:pPr>
        <w:pStyle w:val="FirstParagraph"/>
      </w:pPr>
      <w:r>
        <w:t xml:space="preserve">Calculated by summing the \'Total Carbon\' for each material from the provided BOM (ffqseulx).</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 Description</w:t>
            </w:r>
          </w:p>
        </w:tc>
        <w:tc>
          <w:tcPr/>
          <w:p>
            <w:pPr>
              <w:pStyle w:val="Compact"/>
              <w:jc w:val="left"/>
            </w:pPr>
            <w:r>
              <w:t xml:space="preserve">Total Carbon (kg CO2e)</w:t>
            </w:r>
          </w:p>
        </w:tc>
      </w:tr>
      <w:tr>
        <w:tc>
          <w:tcPr/>
          <w:p>
            <w:pPr>
              <w:pStyle w:val="Compact"/>
              <w:jc w:val="left"/>
            </w:pPr>
            <w:r>
              <w:t xml:space="preserve">Aluminum Alloy</w:t>
            </w:r>
          </w:p>
        </w:tc>
        <w:tc>
          <w:tcPr/>
          <w:p>
            <w:pPr>
              <w:pStyle w:val="Compact"/>
              <w:jc w:val="left"/>
            </w:pPr>
            <w:r>
              <w:t xml:space="preserve">4.25</w:t>
            </w:r>
          </w:p>
        </w:tc>
      </w:tr>
      <w:tr>
        <w:tc>
          <w:tcPr/>
          <w:p>
            <w:pPr>
              <w:pStyle w:val="Compact"/>
              <w:jc w:val="left"/>
            </w:pPr>
            <w:r>
              <w:t xml:space="preserve">ABS Plastic</w:t>
            </w:r>
          </w:p>
        </w:tc>
        <w:tc>
          <w:tcPr/>
          <w:p>
            <w:pPr>
              <w:pStyle w:val="Compact"/>
              <w:jc w:val="left"/>
            </w:pPr>
            <w:r>
              <w:t xml:space="preserve">0.64</w:t>
            </w:r>
          </w:p>
        </w:tc>
      </w:tr>
      <w:tr>
        <w:tc>
          <w:tcPr/>
          <w:p>
            <w:pPr>
              <w:pStyle w:val="Compact"/>
              <w:jc w:val="left"/>
            </w:pPr>
            <w:r>
              <w:t xml:space="preserve">Copper Wire</w:t>
            </w:r>
          </w:p>
        </w:tc>
        <w:tc>
          <w:tcPr/>
          <w:p>
            <w:pPr>
              <w:pStyle w:val="Compact"/>
              <w:jc w:val="left"/>
            </w:pPr>
            <w:r>
              <w:t xml:space="preserve">0.41</w:t>
            </w:r>
          </w:p>
        </w:tc>
      </w:tr>
      <w:tr>
        <w:tc>
          <w:tcPr/>
          <w:p>
            <w:pPr>
              <w:pStyle w:val="Compact"/>
              <w:jc w:val="left"/>
            </w:pPr>
            <w:r>
              <w:t xml:space="preserve">Printed Circuit Board</w:t>
            </w:r>
          </w:p>
        </w:tc>
        <w:tc>
          <w:tcPr/>
          <w:p>
            <w:pPr>
              <w:pStyle w:val="Compact"/>
              <w:jc w:val="left"/>
            </w:pPr>
            <w:r>
              <w:t xml:space="preserve">2.25</w:t>
            </w:r>
          </w:p>
        </w:tc>
      </w:tr>
      <w:tr>
        <w:tc>
          <w:tcPr/>
          <w:p>
            <w:pPr>
              <w:pStyle w:val="Compact"/>
              <w:jc w:val="left"/>
            </w:pPr>
            <w:r>
              <w:t xml:space="preserve">Corrugated Cardboard</w:t>
            </w:r>
          </w:p>
        </w:tc>
        <w:tc>
          <w:tcPr/>
          <w:p>
            <w:pPr>
              <w:pStyle w:val="Compact"/>
              <w:jc w:val="left"/>
            </w:pPr>
            <w:r>
              <w:t xml:space="preserve">0.21</w:t>
            </w:r>
          </w:p>
        </w:tc>
      </w:tr>
      <w:tr>
        <w:tc>
          <w:tcPr/>
          <w:p>
            <w:pPr>
              <w:pStyle w:val="Compact"/>
              <w:jc w:val="left"/>
            </w:pPr>
            <w:r>
              <w:t xml:space="preserve">Lithium-ion Battery</w:t>
            </w:r>
          </w:p>
        </w:tc>
        <w:tc>
          <w:tcPr/>
          <w:p>
            <w:pPr>
              <w:pStyle w:val="Compact"/>
              <w:jc w:val="left"/>
            </w:pPr>
            <w:r>
              <w:t xml:space="preserve">1.25</w:t>
            </w:r>
          </w:p>
        </w:tc>
      </w:tr>
      <w:tr>
        <w:tc>
          <w:tcPr/>
          <w:p>
            <w:pPr>
              <w:pStyle w:val="Compact"/>
              <w:jc w:val="left"/>
            </w:pPr>
            <w:r>
              <w:rPr>
                <w:bCs/>
                <w:b/>
              </w:rPr>
              <w:t xml:space="preserve">Subtotal Materials</w:t>
            </w:r>
          </w:p>
        </w:tc>
        <w:tc>
          <w:tcPr/>
          <w:p>
            <w:pPr>
              <w:pStyle w:val="Compact"/>
              <w:jc w:val="left"/>
            </w:pPr>
            <w:r>
              <w:rPr>
                <w:bCs/>
                <w:b/>
              </w:rPr>
              <w:t xml:space="preserve">9.01</w:t>
            </w:r>
          </w:p>
        </w:tc>
      </w:tr>
    </w:tbl>
    <w:p>
      <w:pPr>
        <w:pStyle w:val="BodyText"/>
      </w:pPr>
      <w:r>
        <w:rPr>
          <w:bCs/>
          <w:b/>
        </w:rPr>
        <w:t xml:space="preserve">Scope 3, Category 1 Emissions: 9.01 kg CO2e/unit</w:t>
      </w:r>
    </w:p>
    <w:bookmarkEnd w:id="44"/>
    <w:bookmarkStart w:id="45" w:name="X6669a43143349c25ec93e775eebde43de53a73c"/>
    <w:p>
      <w:pPr>
        <w:pStyle w:val="Heading4"/>
      </w:pPr>
      <w:r>
        <w:t xml:space="preserve">4.3.2 Category 4: Upstream Transportation and Distribution</w:t>
      </w:r>
    </w:p>
    <w:p>
      <w:pPr>
        <w:pStyle w:val="FirstParagraph"/>
      </w:pPr>
      <w:r>
        <w:t xml:space="preserve">This covers the transport of materials and components to the manufacturing facility in China.</w:t>
      </w:r>
    </w:p>
    <w:p>
      <w:pPr>
        <w:numPr>
          <w:ilvl w:val="0"/>
          <w:numId w:val="1009"/>
        </w:numPr>
        <w:pStyle w:val="Compact"/>
      </w:pPr>
      <w:r>
        <w:t xml:space="preserve">Total Product Weight (sum of Qty from BOM): 0.5 + 0.2 + 0.1 + 0.15 + 0.3 + 0.05 = 1.3 kg/unit = 0.0013 tonnes/unit</w:t>
      </w:r>
    </w:p>
    <w:p>
      <w:pPr>
        <w:numPr>
          <w:ilvl w:val="0"/>
          <w:numId w:val="1009"/>
        </w:numPr>
        <w:pStyle w:val="Compact"/>
      </w:pPr>
      <w:r>
        <w:t xml:space="preserve">Transport Distance (oqdknpqusj): 1800 km</w:t>
      </w:r>
    </w:p>
    <w:p>
      <w:pPr>
        <w:numPr>
          <w:ilvl w:val="0"/>
          <w:numId w:val="1009"/>
        </w:numPr>
        <w:pStyle w:val="Compact"/>
      </w:pPr>
      <w:r>
        <w:t xml:space="preserve">Transport Mode: Road Freight (Heavy Goods Vehicle)</w:t>
      </w:r>
    </w:p>
    <w:p>
      <w:pPr>
        <w:numPr>
          <w:ilvl w:val="0"/>
          <w:numId w:val="1009"/>
        </w:numPr>
        <w:pStyle w:val="Compact"/>
      </w:pPr>
      <w:r>
        <w:t xml:space="preserve">Road Freight Emission Factor: 0.09 kg CO2e/tonne-km</w:t>
      </w:r>
    </w:p>
    <w:p>
      <w:pPr>
        <w:numPr>
          <w:ilvl w:val="0"/>
          <w:numId w:val="1009"/>
        </w:numPr>
        <w:pStyle w:val="Compact"/>
      </w:pPr>
      <w:r>
        <w:rPr>
          <w:bCs/>
          <w:b/>
        </w:rPr>
        <w:t xml:space="preserve">Scope 3, Category 4 Emissions:</w:t>
      </w:r>
      <w:r>
        <w:t xml:space="preserve"> </w:t>
      </w:r>
      <w:r>
        <w:t xml:space="preserve">0.0013 tonnes/unit * 1800 km * 0.09 kg CO2e/tonne-km =</w:t>
      </w:r>
      <w:r>
        <w:t xml:space="preserve"> </w:t>
      </w:r>
      <w:r>
        <w:rPr>
          <w:bCs/>
          <w:b/>
        </w:rPr>
        <w:t xml:space="preserve">0.21 kg CO2e/unit</w:t>
      </w:r>
    </w:p>
    <w:bookmarkEnd w:id="45"/>
    <w:bookmarkStart w:id="46" w:name="Xe6a609cc71639c4bb5b5bcd247c776c9d89fa33"/>
    <w:p>
      <w:pPr>
        <w:pStyle w:val="Heading4"/>
      </w:pPr>
      <w:r>
        <w:t xml:space="preserve">4.3.3 Category 9: Downstream Transportation and Distribution (Last-Mile Delivery)</w:t>
      </w:r>
    </w:p>
    <w:p>
      <w:pPr>
        <w:pStyle w:val="FirstParagraph"/>
      </w:pPr>
      <w:r>
        <w:t xml:space="preserve">Emissions from delivering the finished product to the end-user.</w:t>
      </w:r>
    </w:p>
    <w:p>
      <w:pPr>
        <w:numPr>
          <w:ilvl w:val="0"/>
          <w:numId w:val="1010"/>
        </w:numPr>
        <w:pStyle w:val="Compact"/>
      </w:pPr>
      <w:r>
        <w:t xml:space="preserve">Last-Mile Delivery Channel (Delivery Type): Light Commercial Vehicle (LCV)</w:t>
      </w:r>
    </w:p>
    <w:p>
      <w:pPr>
        <w:numPr>
          <w:ilvl w:val="0"/>
          <w:numId w:val="1010"/>
        </w:numPr>
        <w:pStyle w:val="Compact"/>
      </w:pPr>
      <w:r>
        <w:t xml:space="preserve">Last-Mile Delivery Distance (Assumed): 50 km</w:t>
      </w:r>
    </w:p>
    <w:p>
      <w:pPr>
        <w:numPr>
          <w:ilvl w:val="0"/>
          <w:numId w:val="1010"/>
        </w:numPr>
        <w:pStyle w:val="Compact"/>
      </w:pPr>
      <w:r>
        <w:t xml:space="preserve">LCV Emission Factor: 0.15 kg CO2e/km</w:t>
      </w:r>
    </w:p>
    <w:p>
      <w:pPr>
        <w:numPr>
          <w:ilvl w:val="0"/>
          <w:numId w:val="1010"/>
        </w:numPr>
        <w:pStyle w:val="Compact"/>
      </w:pPr>
      <w:r>
        <w:rPr>
          <w:bCs/>
          <w:b/>
        </w:rPr>
        <w:t xml:space="preserve">Scope 3, Category 9 Emissions:</w:t>
      </w:r>
      <w:r>
        <w:t xml:space="preserve"> </w:t>
      </w:r>
      <w:r>
        <w:t xml:space="preserve">50 km * 0.15 kg CO2e/km =</w:t>
      </w:r>
      <w:r>
        <w:t xml:space="preserve"> </w:t>
      </w:r>
      <w:r>
        <w:rPr>
          <w:bCs/>
          <w:b/>
        </w:rPr>
        <w:t xml:space="preserve">7.50 kg CO2e/unit</w:t>
      </w:r>
    </w:p>
    <w:bookmarkEnd w:id="46"/>
    <w:bookmarkStart w:id="47" w:name="category-11-use-of-sold-products"/>
    <w:p>
      <w:pPr>
        <w:pStyle w:val="Heading4"/>
      </w:pPr>
      <w:r>
        <w:t xml:space="preserve">4.3.4 Category 11: Use of Sold Products</w:t>
      </w:r>
    </w:p>
    <w:p>
      <w:pPr>
        <w:pStyle w:val="FirstParagraph"/>
      </w:pPr>
      <w:r>
        <w:t xml:space="preserve">Emissions from the energy consumed by the product during its lifespan, assuming usage in a European market context.</w:t>
      </w:r>
    </w:p>
    <w:p>
      <w:pPr>
        <w:numPr>
          <w:ilvl w:val="0"/>
          <w:numId w:val="1011"/>
        </w:numPr>
        <w:pStyle w:val="Compact"/>
      </w:pPr>
      <w:r>
        <w:t xml:space="preserve">Product Lifespan (fuvswseyzi): 7 years</w:t>
      </w:r>
    </w:p>
    <w:p>
      <w:pPr>
        <w:numPr>
          <w:ilvl w:val="0"/>
          <w:numId w:val="1011"/>
        </w:numPr>
        <w:pStyle w:val="Compact"/>
      </w:pPr>
      <w:r>
        <w:t xml:space="preserve">Energy Consumption in Use (svrjeylxml): 25 kWh/year</w:t>
      </w:r>
    </w:p>
    <w:p>
      <w:pPr>
        <w:numPr>
          <w:ilvl w:val="0"/>
          <w:numId w:val="1011"/>
        </w:numPr>
        <w:pStyle w:val="Compact"/>
      </w:pPr>
      <w:r>
        <w:t xml:space="preserve">Total Energy in Use: 7 years * 25 kWh/year = 175 kWh/unit</w:t>
      </w:r>
    </w:p>
    <w:p>
      <w:pPr>
        <w:numPr>
          <w:ilvl w:val="0"/>
          <w:numId w:val="1011"/>
        </w:numPr>
        <w:pStyle w:val="Compact"/>
      </w:pPr>
      <w:r>
        <w:t xml:space="preserve">European Electricity Grid Emission Factor: 0.181 kg CO2e/kWh</w:t>
      </w:r>
    </w:p>
    <w:p>
      <w:pPr>
        <w:numPr>
          <w:ilvl w:val="0"/>
          <w:numId w:val="1011"/>
        </w:numPr>
        <w:pStyle w:val="Compact"/>
      </w:pPr>
      <w:r>
        <w:rPr>
          <w:bCs/>
          <w:b/>
        </w:rPr>
        <w:t xml:space="preserve">Scope 3, Category 11 Emissions:</w:t>
      </w:r>
      <w:r>
        <w:t xml:space="preserve"> </w:t>
      </w:r>
      <w:r>
        <w:t xml:space="preserve">175 kWh/unit * 0.181 kg CO2e/kWh =</w:t>
      </w:r>
      <w:r>
        <w:t xml:space="preserve"> </w:t>
      </w:r>
      <w:r>
        <w:rPr>
          <w:bCs/>
          <w:b/>
        </w:rPr>
        <w:t xml:space="preserve">31.68 kg CO2e/unit</w:t>
      </w:r>
    </w:p>
    <w:bookmarkEnd w:id="47"/>
    <w:bookmarkStart w:id="48" w:name="X9f66eef2700632e081dfe139021cb724ffcd2c5"/>
    <w:p>
      <w:pPr>
        <w:pStyle w:val="Heading4"/>
      </w:pPr>
      <w:r>
        <w:t xml:space="preserve">4.3.5 Category 12: End-of-Life Treatment of Sold Products</w:t>
      </w:r>
    </w:p>
    <w:p>
      <w:pPr>
        <w:pStyle w:val="FirstParagraph"/>
      </w:pPr>
      <w:r>
        <w:t xml:space="preserve">Emissions and impacts associated with the disposal and recycling of the product at its end-of-life.</w:t>
      </w:r>
    </w:p>
    <w:p>
      <w:pPr>
        <w:numPr>
          <w:ilvl w:val="0"/>
          <w:numId w:val="1012"/>
        </w:numPr>
        <w:pStyle w:val="Compact"/>
      </w:pPr>
      <w:r>
        <w:t xml:space="preserve">Product Total Mass: 1.3 kg/unit (from BOM summation)</w:t>
      </w:r>
    </w:p>
    <w:p>
      <w:pPr>
        <w:numPr>
          <w:ilvl w:val="0"/>
          <w:numId w:val="1012"/>
        </w:numPr>
        <w:pStyle w:val="Compact"/>
      </w:pPr>
      <w:r>
        <w:t xml:space="preserve">Recyclability Percentage (jozyohityf): 75%</w:t>
      </w:r>
    </w:p>
    <w:p>
      <w:pPr>
        <w:numPr>
          <w:ilvl w:val="0"/>
          <w:numId w:val="1012"/>
        </w:numPr>
        <w:pStyle w:val="Compact"/>
      </w:pPr>
      <w:r>
        <w:t xml:space="preserve">Portion to Landfill: 1.3 kg/unit * (1 - 0.75) = 0.325 kg/unit</w:t>
      </w:r>
    </w:p>
    <w:p>
      <w:pPr>
        <w:numPr>
          <w:ilvl w:val="0"/>
          <w:numId w:val="1012"/>
        </w:numPr>
        <w:pStyle w:val="Compact"/>
      </w:pPr>
      <w:r>
        <w:t xml:space="preserve">Landfill Emission Factor: 0.3 kg CO2e/kg</w:t>
      </w:r>
    </w:p>
    <w:p>
      <w:pPr>
        <w:numPr>
          <w:ilvl w:val="0"/>
          <w:numId w:val="1012"/>
        </w:numPr>
        <w:pStyle w:val="Compact"/>
      </w:pPr>
      <w:r>
        <w:rPr>
          <w:bCs/>
          <w:b/>
        </w:rPr>
        <w:t xml:space="preserve">Emissions from Landfill:</w:t>
      </w:r>
      <w:r>
        <w:t xml:space="preserve"> </w:t>
      </w:r>
      <w:r>
        <w:t xml:space="preserve">0.325 kg/unit * 0.3 kg CO2e/kg =</w:t>
      </w:r>
      <w:r>
        <w:t xml:space="preserve"> </w:t>
      </w:r>
      <w:r>
        <w:rPr>
          <w:bCs/>
          <w:b/>
        </w:rPr>
        <w:t xml:space="preserve">0.10 kg CO2e/unit</w:t>
      </w:r>
    </w:p>
    <w:p>
      <w:pPr>
        <w:numPr>
          <w:ilvl w:val="0"/>
          <w:numId w:val="1012"/>
        </w:numPr>
        <w:pStyle w:val="Compact"/>
      </w:pPr>
      <w:r>
        <w:t xml:space="preserve">Circular/Take-back Programs (nwgvenjrsx): Comprehensive regional take-back and refurbishment program available for core components. While direct quantification of avoided emissions from recycling and refurbishment is complex without specific process data, these programs significantly reduce the need for virgin materials and divert waste from landfills, offering substantial environmental benefits. For simplicity in this calculation, we account for landfill emissions of the non-recycled portion. Further detailed analysis with specific recycling/refurbishment emission factors or credits would refine this.</w:t>
      </w:r>
    </w:p>
    <w:p>
      <w:pPr>
        <w:numPr>
          <w:ilvl w:val="0"/>
          <w:numId w:val="1012"/>
        </w:numPr>
        <w:pStyle w:val="Compact"/>
      </w:pPr>
      <w:r>
        <w:rPr>
          <w:bCs/>
          <w:b/>
        </w:rPr>
        <w:t xml:space="preserve">Scope 3, Category 12 Emissions (Simplified): 0.10 kg CO2e/unit</w:t>
      </w:r>
    </w:p>
    <w:bookmarkEnd w:id="48"/>
    <w:bookmarkEnd w:id="49"/>
    <w:bookmarkStart w:id="50"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2.88</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9.01</w:t>
            </w:r>
          </w:p>
        </w:tc>
      </w:tr>
      <w:tr>
        <w:tc>
          <w:tcPr/>
          <w:p>
            <w:pPr>
              <w:pStyle w:val="Compact"/>
              <w:jc w:val="left"/>
            </w:pPr>
            <w:r>
              <w:t xml:space="preserve">Scope 3, Category 4</w:t>
            </w:r>
          </w:p>
        </w:tc>
        <w:tc>
          <w:tcPr/>
          <w:p>
            <w:pPr>
              <w:pStyle w:val="Compact"/>
              <w:jc w:val="left"/>
            </w:pPr>
            <w:r>
              <w:t xml:space="preserve">Upstream Transportation</w:t>
            </w:r>
          </w:p>
        </w:tc>
        <w:tc>
          <w:tcPr/>
          <w:p>
            <w:pPr>
              <w:pStyle w:val="Compact"/>
              <w:jc w:val="left"/>
            </w:pPr>
            <w:r>
              <w:t xml:space="preserve">0.21</w:t>
            </w:r>
          </w:p>
        </w:tc>
      </w:tr>
      <w:tr>
        <w:tc>
          <w:tcPr/>
          <w:p>
            <w:pPr>
              <w:pStyle w:val="Compact"/>
              <w:jc w:val="left"/>
            </w:pPr>
            <w:r>
              <w:t xml:space="preserve">Scope 3, Category 9</w:t>
            </w:r>
          </w:p>
        </w:tc>
        <w:tc>
          <w:tcPr/>
          <w:p>
            <w:pPr>
              <w:pStyle w:val="Compact"/>
              <w:jc w:val="left"/>
            </w:pPr>
            <w:r>
              <w:t xml:space="preserve">Downstream Transportation (Last-Mile)</w:t>
            </w:r>
          </w:p>
        </w:tc>
        <w:tc>
          <w:tcPr/>
          <w:p>
            <w:pPr>
              <w:pStyle w:val="Compact"/>
              <w:jc w:val="left"/>
            </w:pPr>
            <w:r>
              <w:t xml:space="preserve">7.50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31.68</w:t>
            </w:r>
          </w:p>
        </w:tc>
      </w:tr>
      <w:tr>
        <w:tc>
          <w:tcPr/>
          <w:p>
            <w:pPr>
              <w:pStyle w:val="Compact"/>
              <w:jc w:val="left"/>
            </w:pPr>
            <w:r>
              <w:t xml:space="preserve">Scope 3, Category 12</w:t>
            </w:r>
          </w:p>
        </w:tc>
        <w:tc>
          <w:tcPr/>
          <w:p>
            <w:pPr>
              <w:pStyle w:val="Compact"/>
              <w:jc w:val="left"/>
            </w:pPr>
            <w:r>
              <w:t xml:space="preserve">End-of-Life Treatment</w:t>
            </w:r>
          </w:p>
        </w:tc>
        <w:tc>
          <w:tcPr/>
          <w:p>
            <w:pPr>
              <w:pStyle w:val="Compact"/>
              <w:jc w:val="left"/>
            </w:pPr>
            <w:r>
              <w:t xml:space="preserve">0.10</w:t>
            </w:r>
          </w:p>
        </w:tc>
      </w:tr>
      <w:tr>
        <w:tc>
          <w:tcPr>
            <w:gridSpan w:val="2"/>
          </w:tcPr>
          <w:p>
            <w:pPr>
              <w:pStyle w:val="Compact"/>
              <w:jc w:val="left"/>
            </w:pPr>
            <w:r>
              <w:rPr>
                <w:bCs/>
                <w:b/>
              </w:rPr>
              <w:t xml:space="preserve">TOTAL PRODUCT CARBON FOOTPRINT (per 1.0 unit of qewhfyyete)</w:t>
            </w:r>
          </w:p>
        </w:tc>
        <w:tc>
          <w:tcPr/>
          <w:p>
            <w:pPr>
              <w:pStyle w:val="Compact"/>
              <w:jc w:val="left"/>
            </w:pPr>
            <w:r>
              <w:rPr>
                <w:bCs/>
                <w:b/>
              </w:rPr>
              <w:t xml:space="preserve">51.38</w:t>
            </w:r>
          </w:p>
        </w:tc>
      </w:tr>
    </w:tbl>
    <w:bookmarkEnd w:id="50"/>
    <w:bookmarkEnd w:id="51"/>
    <w:p>
      <w:r>
        <w:pict>
          <v:rect style="width:0;height:1.5pt" o:hralign="center" o:hrstd="t" o:hr="t"/>
        </w:pict>
      </w:r>
    </w:p>
    <w:bookmarkStart w:id="54" w:name="review-report"/>
    <w:p>
      <w:pPr>
        <w:pStyle w:val="Heading2"/>
      </w:pPr>
      <w:r>
        <w:t xml:space="preserve">5. Review &amp; Report</w:t>
      </w:r>
    </w:p>
    <w:bookmarkStart w:id="52" w:name="hotspots-and-reliability"/>
    <w:p>
      <w:pPr>
        <w:pStyle w:val="Heading3"/>
      </w:pPr>
      <w:r>
        <w:t xml:space="preserve">5.1 Hotspots and Reliability</w:t>
      </w:r>
    </w:p>
    <w:p>
      <w:pPr>
        <w:pStyle w:val="FirstParagraph"/>
      </w:pPr>
      <w:r>
        <w:t xml:space="preserve">The total Product Carbon Footprint for one unit of qewhfyyete is calculated to be</w:t>
      </w:r>
      <w:r>
        <w:t xml:space="preserve"> </w:t>
      </w:r>
      <w:r>
        <w:rPr>
          <w:bCs/>
          <w:b/>
        </w:rPr>
        <w:t xml:space="preserve">51.38 kg CO2e</w:t>
      </w:r>
      <w:r>
        <w:t xml:space="preserve">. The primary emission hotspots are identified as follows:</w:t>
      </w:r>
    </w:p>
    <w:p>
      <w:pPr>
        <w:numPr>
          <w:ilvl w:val="0"/>
          <w:numId w:val="1013"/>
        </w:numPr>
        <w:pStyle w:val="Compact"/>
      </w:pPr>
      <w:r>
        <w:rPr>
          <w:bCs/>
          <w:b/>
        </w:rPr>
        <w:t xml:space="preserve">Use Phase (Scope 3, Category 11):</w:t>
      </w:r>
      <w:r>
        <w:t xml:space="preserve"> </w:t>
      </w:r>
      <w:r>
        <w:t xml:space="preserve">At 31.68 kg CO2e/unit (approximately 61.7% of total PCF), the energy consumption during the product\'s 7-year lifespan is by far the largest contributor. This highlights the critical importance of energy efficiency in product design and encouraging renewable energy use by end-users.</w:t>
      </w:r>
    </w:p>
    <w:p>
      <w:pPr>
        <w:numPr>
          <w:ilvl w:val="0"/>
          <w:numId w:val="1013"/>
        </w:numPr>
        <w:pStyle w:val="Compact"/>
      </w:pPr>
      <w:r>
        <w:rPr>
          <w:bCs/>
          <w:b/>
        </w:rPr>
        <w:t xml:space="preserve">Purchased Goods and Services (Scope 3, Category 1):</w:t>
      </w:r>
      <w:r>
        <w:t xml:space="preserve"> </w:t>
      </w:r>
      <w:r>
        <w:t xml:space="preserve">Material production accounts for 9.01 kg CO2e/unit (approximately 17.5%), emphasizing the impact of raw material selection and sourcing. High-impact materials like Aluminum Alloy and Lithium-ion Batteries are significant contributors within this category.</w:t>
      </w:r>
    </w:p>
    <w:p>
      <w:pPr>
        <w:numPr>
          <w:ilvl w:val="0"/>
          <w:numId w:val="1013"/>
        </w:numPr>
        <w:pStyle w:val="Compact"/>
      </w:pPr>
      <w:r>
        <w:rPr>
          <w:bCs/>
          <w:b/>
        </w:rPr>
        <w:t xml:space="preserve">Downstream Transportation (Scope 3, Category 9):</w:t>
      </w:r>
      <w:r>
        <w:t xml:space="preserve"> </w:t>
      </w:r>
      <w:r>
        <w:t xml:space="preserve">Last-mile delivery contributes 7.50 kg CO2e/unit (approximately 14.6%), suggesting optimization opportunities in distribution logistics.</w:t>
      </w:r>
    </w:p>
    <w:p>
      <w:pPr>
        <w:numPr>
          <w:ilvl w:val="0"/>
          <w:numId w:val="1013"/>
        </w:numPr>
        <w:pStyle w:val="Compact"/>
      </w:pPr>
      <w:r>
        <w:rPr>
          <w:bCs/>
          <w:b/>
        </w:rPr>
        <w:t xml:space="preserve">Manufacturing (Scope 2):</w:t>
      </w:r>
      <w:r>
        <w:t xml:space="preserve"> </w:t>
      </w:r>
      <w:r>
        <w:t xml:space="preserve">Purchased electricity for manufacturing in China contributes 2.88 kg CO2e/unit (approximately 5.6%). While lower than other hotspots, further increasing renewable energy usage at the factory can reduce this impact.</w:t>
      </w:r>
    </w:p>
    <w:p>
      <w:pPr>
        <w:pStyle w:val="FirstParagraph"/>
      </w:pPr>
      <w:r>
        <w:t xml:space="preserve">The reliability of this report is based on the accuracy of the provided data and the emission factors used. Where specific data was unavailable (e.g., for transport modes and distances, energy usage for use phase), reasonable industry-standard assumptions and general averages were applied. For higher accuracy, primary data collection for all lifecycle stages and specific regional emission factors would be recommended.</w:t>
      </w:r>
    </w:p>
    <w:bookmarkEnd w:id="52"/>
    <w:bookmarkStart w:id="53" w:name="recommendations-for-mklphwqthh"/>
    <w:p>
      <w:pPr>
        <w:pStyle w:val="Heading3"/>
      </w:pPr>
      <w:r>
        <w:t xml:space="preserve">5.2 Recommendations for mklphwqthh</w:t>
      </w:r>
    </w:p>
    <w:p>
      <w:pPr>
        <w:numPr>
          <w:ilvl w:val="0"/>
          <w:numId w:val="1014"/>
        </w:numPr>
        <w:pStyle w:val="Compact"/>
      </w:pPr>
      <w:r>
        <w:rPr>
          <w:bCs/>
          <w:b/>
        </w:rPr>
        <w:t xml:space="preserve">Enhance Use Phase Efficiency:</w:t>
      </w:r>
      <w:r>
        <w:t xml:space="preserve"> </w:t>
      </w:r>
      <w:r>
        <w:t xml:space="preserve">Focus on designing qewhfyyete for maximum energy efficiency, exploring low-power modes, and integrating smart energy management features. Educate customers on energy-efficient use.</w:t>
      </w:r>
    </w:p>
    <w:p>
      <w:pPr>
        <w:numPr>
          <w:ilvl w:val="0"/>
          <w:numId w:val="1014"/>
        </w:numPr>
        <w:pStyle w:val="Compact"/>
      </w:pPr>
      <w:r>
        <w:rPr>
          <w:bCs/>
          <w:b/>
        </w:rPr>
        <w:t xml:space="preserve">Sustainable Material Sourcing:</w:t>
      </w:r>
      <w:r>
        <w:t xml:space="preserve"> </w:t>
      </w:r>
      <w:r>
        <w:t xml:space="preserve">Investigate opportunities to use lower-carbon alternatives for high-impact materials (e.g., recycled aluminum, bio-based plastics) and engage with suppliers to reduce their upstream emissions.</w:t>
      </w:r>
    </w:p>
    <w:p>
      <w:pPr>
        <w:numPr>
          <w:ilvl w:val="0"/>
          <w:numId w:val="1014"/>
        </w:numPr>
        <w:pStyle w:val="Compact"/>
      </w:pPr>
      <w:r>
        <w:rPr>
          <w:bCs/>
          <w:b/>
        </w:rPr>
        <w:t xml:space="preserve">Optimize Logistics:</w:t>
      </w:r>
      <w:r>
        <w:t xml:space="preserve"> </w:t>
      </w:r>
      <w:r>
        <w:t xml:space="preserve">Explore more efficient downstream transport options, such as consolidating shipments, optimizing routes, or transitioning to electric last-mile delivery vehicles in Europe.</w:t>
      </w:r>
    </w:p>
    <w:p>
      <w:pPr>
        <w:numPr>
          <w:ilvl w:val="0"/>
          <w:numId w:val="1014"/>
        </w:numPr>
        <w:pStyle w:val="Compact"/>
      </w:pPr>
      <w:r>
        <w:rPr>
          <w:bCs/>
          <w:b/>
        </w:rPr>
        <w:t xml:space="preserve">Increase Renewable Energy in Production:</w:t>
      </w:r>
      <w:r>
        <w:t xml:space="preserve"> </w:t>
      </w:r>
      <w:r>
        <w:t xml:space="preserve">Continuously increase the percentage of renewable energy used in the manufacturing facility in China beyond the current 60% (mtiueovwls) to further reduce Scope 2 emissions.</w:t>
      </w:r>
    </w:p>
    <w:p>
      <w:pPr>
        <w:numPr>
          <w:ilvl w:val="0"/>
          <w:numId w:val="1014"/>
        </w:numPr>
        <w:pStyle w:val="Compact"/>
      </w:pPr>
      <w:r>
        <w:rPr>
          <w:bCs/>
          <w:b/>
        </w:rPr>
        <w:t xml:space="preserve">Strengthen Circularity:</w:t>
      </w:r>
      <w:r>
        <w:t xml:space="preserve"> </w:t>
      </w:r>
      <w:r>
        <w:t xml:space="preserve">Leverage and expand the comprehensive regional take-back and refurbishment program (nwgvenjrsx) to maximize material recovery and reuse, reducing reliance on virgin materials and minimizing waste to landfill. Promote product longevity and repairability.</w:t>
      </w:r>
    </w:p>
    <w:p>
      <w:pPr>
        <w:numPr>
          <w:ilvl w:val="0"/>
          <w:numId w:val="1014"/>
        </w:numPr>
        <w:pStyle w:val="Compact"/>
      </w:pPr>
      <w:r>
        <w:rPr>
          <w:bCs/>
          <w:b/>
        </w:rPr>
        <w:t xml:space="preserve">Refine Data Collection:</w:t>
      </w:r>
      <w:r>
        <w:t xml:space="preserve"> </w:t>
      </w:r>
      <w:r>
        <w:t xml:space="preserve">Implement robust systems for collecting primary data for all material inputs, transportation legs (including load factors and specific vehicle types), and actual energy consumption during the product\'s use phase, particularly for the European market.</w:t>
      </w:r>
    </w:p>
    <w:bookmarkEnd w:id="53"/>
    <w:bookmarkEnd w:id="54"/>
    <w:p>
      <w:r>
        <w:pict>
          <v:rect style="width:0;height:1.5pt" o:hralign="center" o:hrstd="t" o:hr="t"/>
        </w:pict>
      </w:r>
    </w:p>
    <w:p>
      <w:pPr>
        <w:pStyle w:val="FirstParagraph"/>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qewhfyyete</dc:title>
  <dc:creator/>
  <dc:description>Detailed Product Carbon Footprint (PCF) analysis for product qewhfyyete by mklphwqthh, following GHG Protocol standards and 2026 updates, conducted by Senior Sustainability Consultant jtiiopgeru.</dc:description>
  <dc:language>en</dc:language>
  <cp:keywords/>
  <dcterms:created xsi:type="dcterms:W3CDTF">2026-05-30T19:24:10Z</dcterms:created>
  <dcterms:modified xsi:type="dcterms:W3CDTF">2026-05-30T19:24:10Z</dcterms:modified>
</cp:coreProperties>
</file>

<file path=docProps/custom.xml><?xml version="1.0" encoding="utf-8"?>
<Properties xmlns="http://schemas.openxmlformats.org/officeDocument/2006/custom-properties" xmlns:vt="http://schemas.openxmlformats.org/officeDocument/2006/docPropsVTypes"/>
</file>