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qefdtznytg</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qefdtznytg"/>
    <w:p>
      <w:pPr>
        <w:pStyle w:val="Heading2"/>
      </w:pPr>
      <w:r>
        <w:t xml:space="preserve">Product: qefdtznytg</w:t>
      </w:r>
    </w:p>
    <w:p>
      <w:pPr>
        <w:pStyle w:val="FirstParagraph"/>
      </w:pPr>
      <w:r>
        <w:t xml:space="preserve">Protocol Data (Accounting Standard): GHG Protocol</w:t>
      </w:r>
    </w:p>
    <w:p>
      <w:pPr>
        <w:pStyle w:val="BodyText"/>
      </w:pPr>
      <w:r>
        <w:t xml:space="preserve">Company Name: pgwzkisivi</w:t>
      </w:r>
    </w:p>
    <w:p>
      <w:pPr>
        <w:pStyle w:val="BodyText"/>
      </w:pPr>
      <w:r>
        <w:t xml:space="preserve">Senior Sustainability Consultant: iydyidqkdw</w:t>
      </w:r>
    </w:p>
    <w:p>
      <w:pPr>
        <w:pStyle w:val="BodyText"/>
      </w:pPr>
      <w:r>
        <w:t xml:space="preserve">This report is generated based on available data and industry standards, providing an estimate of the product\'s carbon footprint.</w:t>
      </w:r>
    </w:p>
    <w:p>
      <w:pPr>
        <w:pStyle w:val="BodyText"/>
      </w:pPr>
      <w:r>
        <w:t xml:space="preserve">Generated Date: June 3, 2026</w:t>
      </w:r>
    </w:p>
    <w:bookmarkEnd w:id="20"/>
    <w:bookmarkEnd w:id="21"/>
    <w:bookmarkStart w:id="45"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June 3,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qefdtznytg</w:t>
      </w:r>
      <w:r>
        <w:t xml:space="preserve">, manufactured by</w:t>
      </w:r>
      <w:r>
        <w:t xml:space="preserve"> </w:t>
      </w:r>
      <w:r>
        <w:rPr>
          <w:bCs/>
          <w:b/>
        </w:rPr>
        <w:t xml:space="preserve">pgwzkisivi</w:t>
      </w:r>
      <w:r>
        <w:t xml:space="preserve">. Conducted by Senior Sustainability Consultant</w:t>
      </w:r>
      <w:r>
        <w:t xml:space="preserve"> </w:t>
      </w:r>
      <w:r>
        <w:rPr>
          <w:bCs/>
          <w:b/>
        </w:rPr>
        <w:t xml:space="preserve">iydyidqkdw</w:t>
      </w:r>
      <w:r>
        <w:t xml:space="preserve">, this analysis adheres to the Greenhouse Gas (GHG) Protocol, incorporating the latest 2026 Land Sector and Removals (LSR) Standard update, and aiming for at least 95% coverage for Scope 3 emissions. The assessment follows a cradle-to-grave approach, quantifying the total greenhouse gas emissions (in CO</w:t>
      </w:r>
      <w:r>
        <w:rPr>
          <w:vertAlign w:val="subscript"/>
        </w:rPr>
        <w:t xml:space="preserve">2</w:t>
      </w:r>
      <w:r>
        <w:t xml:space="preserve">e) across all life cycle stages: raw material acquisition, manufacturing, transportation, product use, and end-of-life treatment. The primary objective is to identify emission hotspots, provide a robust carbon footprint, and offer strategic recommendations for decarbonization.</w:t>
      </w:r>
    </w:p>
    <w:p>
      <w:r>
        <w:pict>
          <v:rect style="width:0;height:1.5pt" o:hralign="center" o:hrstd="t" o:hr="t"/>
        </w:pict>
      </w:r>
    </w:p>
    <w:bookmarkEnd w:id="22"/>
    <w:bookmarkStart w:id="28" w:name="methodology-and-scope-definition"/>
    <w:p>
      <w:pPr>
        <w:pStyle w:val="Heading2"/>
      </w:pPr>
      <w:r>
        <w:t xml:space="preserve">1. Methodology and Scope Definition</w:t>
      </w:r>
    </w:p>
    <w:bookmarkStart w:id="23" w:name="methodology-overview"/>
    <w:p>
      <w:pPr>
        <w:pStyle w:val="Heading3"/>
      </w:pPr>
      <w:r>
        <w:t xml:space="preserve">1.1 Methodology Overview</w:t>
      </w:r>
    </w:p>
    <w:p>
      <w:pPr>
        <w:pStyle w:val="FirstParagraph"/>
      </w:pPr>
      <w:r>
        <w:t xml:space="preserve">The Product Carbon Footprint (PCF) analysis for</w:t>
      </w:r>
      <w:r>
        <w:t xml:space="preserve"> </w:t>
      </w:r>
      <w:r>
        <w:rPr>
          <w:bCs/>
          <w:b/>
        </w:rPr>
        <w:t xml:space="preserve">qefdtznytg</w:t>
      </w:r>
      <w:r>
        <w:t xml:space="preserve"> </w:t>
      </w:r>
      <w:r>
        <w:t xml:space="preserve">followed a structured five-step methodology in accordance with the GHG Protocol Product Standard:</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stages and processes.</w:t>
      </w:r>
    </w:p>
    <w:p>
      <w:pPr>
        <w:numPr>
          <w:ilvl w:val="0"/>
          <w:numId w:val="1001"/>
        </w:numPr>
        <w:pStyle w:val="Compact"/>
      </w:pPr>
      <w:r>
        <w:rPr>
          <w:bCs/>
          <w:b/>
        </w:rPr>
        <w:t xml:space="preserve">Collect Data:</w:t>
      </w:r>
      <w:r>
        <w:t xml:space="preserve"> </w:t>
      </w:r>
      <w:r>
        <w:t xml:space="preserve">Gathering of primary and secondary data points for all identified processes.</w:t>
      </w:r>
    </w:p>
    <w:p>
      <w:pPr>
        <w:numPr>
          <w:ilvl w:val="0"/>
          <w:numId w:val="1001"/>
        </w:numPr>
        <w:pStyle w:val="Compact"/>
      </w:pPr>
      <w:r>
        <w:rPr>
          <w:bCs/>
          <w:b/>
        </w:rPr>
        <w:t xml:space="preserve">Calculate Emissions:</w:t>
      </w:r>
      <w:r>
        <w:t xml:space="preserve"> </w:t>
      </w:r>
      <w:r>
        <w:t xml:space="preserve">Quantification of greenhouse gas emissions (CO</w:t>
      </w:r>
      <w:r>
        <w:rPr>
          <w:vertAlign w:val="subscript"/>
        </w:rPr>
        <w:t xml:space="preserve">2</w:t>
      </w:r>
      <w:r>
        <w:t xml:space="preserve">e) by multiplying activity data with appropriate emission factors.</w:t>
      </w:r>
    </w:p>
    <w:p>
      <w:pPr>
        <w:numPr>
          <w:ilvl w:val="0"/>
          <w:numId w:val="1001"/>
        </w:numPr>
        <w:pStyle w:val="Compact"/>
      </w:pPr>
      <w:r>
        <w:rPr>
          <w:bCs/>
          <w:b/>
        </w:rPr>
        <w:t xml:space="preserve">Review &amp; Report:</w:t>
      </w:r>
      <w:r>
        <w:t xml:space="preserve"> </w:t>
      </w:r>
      <w:r>
        <w:t xml:space="preserve">Analysis of results, identification of hotspots, assessment of reliability, and comprehensive reporting.</w:t>
      </w:r>
    </w:p>
    <w:p>
      <w:pPr>
        <w:pStyle w:val="FirstParagraph"/>
      </w:pPr>
      <w:r>
        <w:t xml:space="preserve">This report also integrates requirements from the</w:t>
      </w:r>
      <w:r>
        <w:t xml:space="preserve"> </w:t>
      </w:r>
      <w:r>
        <w:rPr>
          <w:bCs/>
          <w:b/>
        </w:rPr>
        <w:t xml:space="preserve">2026 GHG Protocol Land Sector and Removals (LSR) Standard</w:t>
      </w:r>
      <w:r>
        <w:t xml:space="preserve"> </w:t>
      </w:r>
      <w:r>
        <w:t xml:space="preserve">for relevant land use and carbon removals within the supply chain, effective January 1, 2027. Furthermore, a robust effort was made to achieve at least 95% coverage for Scope 3 emissions, aligning with 2026 reporting requirements.</w:t>
      </w:r>
    </w:p>
    <w:bookmarkEnd w:id="23"/>
    <w:bookmarkStart w:id="24"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qefdtznytg</w:t>
      </w:r>
      <w:r>
        <w:t xml:space="preserve">, providing a consistent reference for all quantifiable inputs and outputs throughout its life cycle.</w:t>
      </w:r>
    </w:p>
    <w:bookmarkEnd w:id="24"/>
    <w:bookmarkStart w:id="25" w:name="system-boundary"/>
    <w:p>
      <w:pPr>
        <w:pStyle w:val="Heading3"/>
      </w:pPr>
      <w:r>
        <w:t xml:space="preserve">1.3 System Boundary</w:t>
      </w:r>
    </w:p>
    <w:p>
      <w:pPr>
        <w:pStyle w:val="FirstParagraph"/>
      </w:pPr>
      <w:r>
        <w:t xml:space="preserve">The system boundary adopted for this analysis is "Cradle-to-Grave," encompassing all life cycle stages from raw material extraction to the product\'s end-of-life. While the direct operational boundary of</w:t>
      </w:r>
      <w:r>
        <w:t xml:space="preserve"> </w:t>
      </w:r>
      <w:r>
        <w:rPr>
          <w:bCs/>
          <w:b/>
        </w:rPr>
        <w:t xml:space="preserve">pgwzkisivi</w:t>
      </w:r>
      <w:r>
        <w:t xml:space="preserve"> </w:t>
      </w:r>
      <w:r>
        <w:t xml:space="preserve">is considered "factory_gate" (covering all activities within the manufacturing facility), the full value chain impacts (upstream and downstream) are included to provide a comprehensive assessment compliant with the GHG Protocol Product Standard for full life cycle accounting.</w:t>
      </w:r>
    </w:p>
    <w:bookmarkEnd w:id="25"/>
    <w:bookmarkStart w:id="26" w:name="geographic-scope"/>
    <w:p>
      <w:pPr>
        <w:pStyle w:val="Heading3"/>
      </w:pPr>
      <w:r>
        <w:t xml:space="preserve">1.4 Geographic Scope</w:t>
      </w:r>
    </w:p>
    <w:p>
      <w:pPr>
        <w:pStyle w:val="FirstParagraph"/>
      </w:pPr>
      <w:r>
        <w:t xml:space="preserve">The geographic scope focuses on the</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approach considers region-specific emission factors for energy grids, transportation, and material sourcing where applicable.</w:t>
      </w:r>
    </w:p>
    <w:bookmarkEnd w:id="26"/>
    <w:bookmarkStart w:id="27" w:name="accounting-standard"/>
    <w:p>
      <w:pPr>
        <w:pStyle w:val="Heading3"/>
      </w:pPr>
      <w:r>
        <w:t xml:space="preserve">1.5 Accounting Standard</w:t>
      </w:r>
    </w:p>
    <w:p>
      <w:pPr>
        <w:pStyle w:val="FirstParagraph"/>
      </w:pPr>
      <w:r>
        <w:t xml:space="preserve">The entire analysis and reporting strictly adhere to the</w:t>
      </w:r>
      <w:r>
        <w:t xml:space="preserve"> </w:t>
      </w:r>
      <w:r>
        <w:rPr>
          <w:bCs/>
          <w:b/>
        </w:rPr>
        <w:t xml:space="preserve">GHG Protocol (Product Standard and Corporate Value Chain (Scope 3) Accounting and Reporting Standard)</w:t>
      </w:r>
      <w:r>
        <w:t xml:space="preserve">. Emissions are categorized into Scope 1 (direct), Scope 2 (purchased energy), and Scope 3 (value chain) to provide a clear understanding of emission sources.</w:t>
      </w:r>
    </w:p>
    <w:p>
      <w:r>
        <w:pict>
          <v:rect style="width:0;height:1.5pt" o:hralign="center" o:hrstd="t" o:hr="t"/>
        </w:pict>
      </w:r>
    </w:p>
    <w:bookmarkEnd w:id="27"/>
    <w:bookmarkEnd w:id="28"/>
    <w:bookmarkStart w:id="34" w:name="lifecycle-mapping-and-data-collection"/>
    <w:p>
      <w:pPr>
        <w:pStyle w:val="Heading2"/>
      </w:pPr>
      <w:r>
        <w:t xml:space="preserve">2. Lifecycle Mapping and Data Collection</w:t>
      </w:r>
    </w:p>
    <w:p>
      <w:pPr>
        <w:pStyle w:val="FirstParagraph"/>
      </w:pPr>
      <w:r>
        <w:t xml:space="preserve">This section details the inputs and outputs across the product\'s lifecycle, providing the foundational data for emission calculations. For illustrative purposes, specific values have been assigned to generic string inputs, with the understanding that real-world analysis would require precise, verifiable data.</w:t>
      </w:r>
    </w:p>
    <w:bookmarkStart w:id="29" w:name="detailed-bill-of-materials-bom"/>
    <w:p>
      <w:pPr>
        <w:pStyle w:val="Heading3"/>
      </w:pPr>
      <w:r>
        <w:t xml:space="preserve">2.1 Detailed Bill of Materials (BOM)</w:t>
      </w:r>
    </w:p>
    <w:p>
      <w:pPr>
        <w:pStyle w:val="FirstParagraph"/>
      </w:pPr>
      <w:r>
        <w:t xml:space="preserve">The following detailed Bill of Materials (BOM) data, provided as</w:t>
      </w:r>
      <w:r>
        <w:t xml:space="preserve"> </w:t>
      </w:r>
      <w:r>
        <w:rPr>
          <w:rStyle w:val="VerbatimChar"/>
        </w:rPr>
        <w:t xml:space="preserve">ouvevumf</w:t>
      </w:r>
      <w:r>
        <w:t xml:space="preserve">, has been used for high-accuracy material impact calculation. Due to the input format, the values below are illustrative but follow the specified structure of \'ID, Description, Category, Process, Qty, Unit, Emission Factor, Total Carbon\'. Emission factors for materials are derived from industry-standard databases such as Ecoinvent.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w:t>
            </w:r>
            <w:r>
              <w:rPr>
                <w:vertAlign w:val="subscript"/>
              </w:rPr>
              <w:t xml:space="preserve">2</w:t>
            </w:r>
            <w:r>
              <w:t xml:space="preserve">e/unit)</w:t>
            </w:r>
          </w:p>
        </w:tc>
        <w:tc>
          <w:tcPr/>
          <w:p>
            <w:pPr>
              <w:pStyle w:val="Compact"/>
              <w:jc w:val="left"/>
            </w:pPr>
            <w:r>
              <w:t xml:space="preserve">Total Carbon (kgCO</w:t>
            </w:r>
            <w:r>
              <w:rPr>
                <w:vertAlign w:val="subscript"/>
              </w:rPr>
              <w:t xml:space="preserve">2</w:t>
            </w:r>
            <w:r>
              <w:t xml:space="preserve">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M003</w:t>
            </w:r>
          </w:p>
        </w:tc>
        <w:tc>
          <w:tcPr/>
          <w:p>
            <w:pPr>
              <w:pStyle w:val="Compact"/>
              <w:jc w:val="left"/>
            </w:pPr>
            <w:r>
              <w:t xml:space="preserve">Metal Fasteners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Total Material Impact:</w:t>
            </w:r>
          </w:p>
        </w:tc>
        <w:tc>
          <w:tcPr/>
          <w:p>
            <w:pPr>
              <w:pStyle w:val="Compact"/>
              <w:jc w:val="left"/>
            </w:pPr>
            <w:r>
              <w:rPr>
                <w:bCs/>
                <w:b/>
              </w:rPr>
              <w:t xml:space="preserve">4.70 kgCO</w:t>
            </w:r>
            <w:r>
              <w:rPr>
                <w:vertAlign w:val="subscript"/>
                <w:bCs/>
                <w:b/>
              </w:rPr>
              <w:t xml:space="preserve">2</w:t>
            </w:r>
            <w:r>
              <w:rPr>
                <w:bCs/>
                <w:b/>
              </w:rPr>
              <w:t xml:space="preserve">e</w:t>
            </w:r>
          </w:p>
        </w:tc>
      </w:tr>
    </w:tbl>
    <w:p>
      <w:pPr>
        <w:pStyle w:val="BodyText"/>
      </w:pPr>
      <w:r>
        <w:rPr>
          <w:iCs/>
          <w:i/>
        </w:rPr>
        <w:t xml:space="preserve">Note: The specific emission factors for materials are illustrative, drawing on typical values found in databases like Ecoinvent for similar processes and materials.</w:t>
      </w:r>
    </w:p>
    <w:bookmarkEnd w:id="29"/>
    <w:bookmarkStart w:id="30" w:name="production-phase-energy-inputs"/>
    <w:p>
      <w:pPr>
        <w:pStyle w:val="Heading3"/>
      </w:pPr>
      <w:r>
        <w:t xml:space="preserve">2.2 Production Phase Energy Inputs</w:t>
      </w:r>
    </w:p>
    <w:p>
      <w:pPr>
        <w:numPr>
          <w:ilvl w:val="0"/>
          <w:numId w:val="1002"/>
        </w:numPr>
        <w:pStyle w:val="Compact"/>
      </w:pPr>
      <w:r>
        <w:rPr>
          <w:bCs/>
          <w:b/>
        </w:rPr>
        <w:t xml:space="preserve">Renewable Energy Usage (</w:t>
      </w:r>
      <w:r>
        <w:rPr>
          <w:rStyle w:val="VerbatimChar"/>
          <w:bCs/>
          <w:b/>
        </w:rPr>
        <w:t xml:space="preserve">fstqqsrrzr</w:t>
      </w:r>
      <w:r>
        <w:rPr>
          <w:bCs/>
          <w:b/>
        </w:rPr>
        <w:t xml:space="preserve">):</w:t>
      </w:r>
      <w:r>
        <w:t xml:space="preserve"> </w:t>
      </w:r>
      <w:r>
        <w:t xml:space="preserve">30% of energy consumed in the production facility is sourced from renewable energy.</w:t>
      </w:r>
    </w:p>
    <w:p>
      <w:pPr>
        <w:numPr>
          <w:ilvl w:val="0"/>
          <w:numId w:val="1002"/>
        </w:numPr>
        <w:pStyle w:val="Compact"/>
      </w:pPr>
      <w:r>
        <w:rPr>
          <w:bCs/>
          <w:b/>
        </w:rPr>
        <w:t xml:space="preserve">Energy Intensity (kWh/unit) (</w:t>
      </w:r>
      <w:r>
        <w:rPr>
          <w:rStyle w:val="VerbatimChar"/>
          <w:bCs/>
          <w:b/>
        </w:rPr>
        <w:t xml:space="preserve">kwwnphwgrd</w:t>
      </w:r>
      <w:r>
        <w:rPr>
          <w:bCs/>
          <w:b/>
        </w:rPr>
        <w:t xml:space="preserve">):</w:t>
      </w:r>
      <w:r>
        <w:t xml:space="preserve"> </w:t>
      </w:r>
      <w:r>
        <w:t xml:space="preserve">The manufacturing process consumes 2.5 kWh per unit of</w:t>
      </w:r>
      <w:r>
        <w:t xml:space="preserve"> </w:t>
      </w:r>
      <w:r>
        <w:rPr>
          <w:bCs/>
          <w:b/>
        </w:rPr>
        <w:t xml:space="preserve">qefdtznytg</w:t>
      </w:r>
      <w:r>
        <w:t xml:space="preserve">.</w:t>
      </w:r>
    </w:p>
    <w:p>
      <w:pPr>
        <w:pStyle w:val="FirstParagraph"/>
      </w:pPr>
      <w:r>
        <w:t xml:space="preserve">The remaining 70% of energy is assumed to be sourced from the local grid in China. The illustrative emission factor for the Chinese electricity grid is taken as 0.6 kg CO</w:t>
      </w:r>
      <w:r>
        <w:rPr>
          <w:vertAlign w:val="subscript"/>
        </w:rPr>
        <w:t xml:space="preserve">2</w:t>
      </w:r>
      <w:r>
        <w:t xml:space="preserve">e/kWh for calculation purposes.</w:t>
      </w:r>
    </w:p>
    <w:bookmarkEnd w:id="30"/>
    <w:bookmarkStart w:id="31" w:name="transport-data"/>
    <w:p>
      <w:pPr>
        <w:pStyle w:val="Heading3"/>
      </w:pPr>
      <w:r>
        <w:t xml:space="preserve">2.3 Transport Data</w:t>
      </w:r>
    </w:p>
    <w:p>
      <w:pPr>
        <w:pStyle w:val="FirstParagraph"/>
      </w:pPr>
      <w:r>
        <w:t xml:space="preserve">Logistics data is incorporated into the supply chain analysis:</w:t>
      </w:r>
    </w:p>
    <w:p>
      <w:pPr>
        <w:numPr>
          <w:ilvl w:val="0"/>
          <w:numId w:val="1003"/>
        </w:numPr>
        <w:pStyle w:val="Compact"/>
      </w:pPr>
      <w:r>
        <w:rPr>
          <w:bCs/>
          <w:b/>
        </w:rPr>
        <w:t xml:space="preserve">Main Transport Mode (</w:t>
      </w:r>
      <w:r>
        <w:rPr>
          <w:rStyle w:val="VerbatimChar"/>
          <w:bCs/>
          <w:b/>
        </w:rPr>
        <w:t xml:space="preserve">Select Mode</w:t>
      </w:r>
      <w:r>
        <w:rPr>
          <w:bCs/>
          <w:b/>
        </w:rPr>
        <w:t xml:space="preserve">):</w:t>
      </w:r>
      <w:r>
        <w:t xml:space="preserve"> </w:t>
      </w:r>
      <w:r>
        <w:t xml:space="preserve">Road freight (Heavy Goods Vehicle - HGV).</w:t>
      </w:r>
    </w:p>
    <w:p>
      <w:pPr>
        <w:numPr>
          <w:ilvl w:val="0"/>
          <w:numId w:val="1003"/>
        </w:numPr>
        <w:pStyle w:val="Compact"/>
      </w:pPr>
      <w:r>
        <w:rPr>
          <w:bCs/>
          <w:b/>
        </w:rPr>
        <w:t xml:space="preserve">Upstream Transport Distance (</w:t>
      </w:r>
      <w:r>
        <w:rPr>
          <w:rStyle w:val="VerbatimChar"/>
          <w:bCs/>
          <w:b/>
        </w:rPr>
        <w:t xml:space="preserve">fwtyeejipp</w:t>
      </w:r>
      <w:r>
        <w:rPr>
          <w:bCs/>
          <w:b/>
        </w:rPr>
        <w:t xml:space="preserve">):</w:t>
      </w:r>
      <w:r>
        <w:t xml:space="preserve"> </w:t>
      </w:r>
      <w:r>
        <w:t xml:space="preserve">An illustrative 2000 km for raw materials transported to the manufacturing facility.</w:t>
      </w:r>
    </w:p>
    <w:p>
      <w:pPr>
        <w:numPr>
          <w:ilvl w:val="0"/>
          <w:numId w:val="1003"/>
        </w:numPr>
        <w:pStyle w:val="Compact"/>
      </w:pPr>
      <w:r>
        <w:rPr>
          <w:bCs/>
          <w:b/>
        </w:rPr>
        <w:t xml:space="preserve">Downstream Transport Distance (</w:t>
      </w:r>
      <w:r>
        <w:rPr>
          <w:rStyle w:val="VerbatimChar"/>
          <w:bCs/>
          <w:b/>
        </w:rPr>
        <w:t xml:space="preserve">fwtyeejipp</w:t>
      </w:r>
      <w:r>
        <w:rPr>
          <w:bCs/>
          <w:b/>
        </w:rPr>
        <w:t xml:space="preserve">):</w:t>
      </w:r>
      <w:r>
        <w:t xml:space="preserve"> </w:t>
      </w:r>
      <w:r>
        <w:t xml:space="preserve">An illustrative 500 km for the product distributed from the factory to the main distribution hub/retailer.</w:t>
      </w:r>
    </w:p>
    <w:p>
      <w:pPr>
        <w:numPr>
          <w:ilvl w:val="0"/>
          <w:numId w:val="1003"/>
        </w:numPr>
        <w:pStyle w:val="Compact"/>
      </w:pPr>
      <w:r>
        <w:rPr>
          <w:bCs/>
          <w:b/>
        </w:rPr>
        <w:t xml:space="preserve">Last-Mile Delivery Channel (</w:t>
      </w:r>
      <w:r>
        <w:rPr>
          <w:rStyle w:val="VerbatimChar"/>
          <w:bCs/>
          <w:b/>
        </w:rPr>
        <w:t xml:space="preserve">Delivery Type</w:t>
      </w:r>
      <w:r>
        <w:rPr>
          <w:bCs/>
          <w:b/>
        </w:rPr>
        <w:t xml:space="preserve">):</w:t>
      </w:r>
      <w:r>
        <w:t xml:space="preserve"> </w:t>
      </w:r>
      <w:r>
        <w:t xml:space="preserve">Light Commercial Vehicle (LCV) Parcel Delivery.</w:t>
      </w:r>
    </w:p>
    <w:p>
      <w:pPr>
        <w:pStyle w:val="FirstParagraph"/>
      </w:pPr>
      <w:r>
        <w:t xml:space="preserve">Illustrative emission factors for transport modes are based on DEFRA conversion factors (e.g., 0.08 kg CO</w:t>
      </w:r>
      <w:r>
        <w:rPr>
          <w:vertAlign w:val="subscript"/>
        </w:rPr>
        <w:t xml:space="preserve">2</w:t>
      </w:r>
      <w:r>
        <w:t xml:space="preserve">e/tkm for HGV and 0.3 kg CO</w:t>
      </w:r>
      <w:r>
        <w:rPr>
          <w:vertAlign w:val="subscript"/>
        </w:rPr>
        <w:t xml:space="preserve">2</w:t>
      </w:r>
      <w:r>
        <w:t xml:space="preserve">e/package for LCV last-mile delivery).</w:t>
      </w:r>
    </w:p>
    <w:bookmarkEnd w:id="31"/>
    <w:bookmarkStart w:id="32" w:name="use-phase-data"/>
    <w:p>
      <w:pPr>
        <w:pStyle w:val="Heading3"/>
      </w:pPr>
      <w:r>
        <w:t xml:space="preserve">2.4 Use Phase Data</w:t>
      </w:r>
    </w:p>
    <w:p>
      <w:pPr>
        <w:pStyle w:val="FirstParagraph"/>
      </w:pPr>
      <w:r>
        <w:t xml:space="preserve">The product\'s durability and consumption data are crucial for the \'Use Phase\' calculation:</w:t>
      </w:r>
    </w:p>
    <w:p>
      <w:pPr>
        <w:numPr>
          <w:ilvl w:val="0"/>
          <w:numId w:val="1004"/>
        </w:numPr>
        <w:pStyle w:val="Compact"/>
      </w:pPr>
      <w:r>
        <w:rPr>
          <w:bCs/>
          <w:b/>
        </w:rPr>
        <w:t xml:space="preserve">Product Lifespan (</w:t>
      </w:r>
      <w:r>
        <w:rPr>
          <w:rStyle w:val="VerbatimChar"/>
          <w:bCs/>
          <w:b/>
        </w:rPr>
        <w:t xml:space="preserve">dtodnwiduo</w:t>
      </w:r>
      <w:r>
        <w:rPr>
          <w:bCs/>
          <w:b/>
        </w:rPr>
        <w:t xml:space="preserve">):</w:t>
      </w:r>
      <w:r>
        <w:t xml:space="preserve"> </w:t>
      </w:r>
      <w:r>
        <w:t xml:space="preserve">5 years.</w:t>
      </w:r>
    </w:p>
    <w:p>
      <w:pPr>
        <w:numPr>
          <w:ilvl w:val="0"/>
          <w:numId w:val="1004"/>
        </w:numPr>
        <w:pStyle w:val="Compact"/>
      </w:pPr>
      <w:r>
        <w:rPr>
          <w:bCs/>
          <w:b/>
        </w:rPr>
        <w:t xml:space="preserve">Energy Consumption in Use (</w:t>
      </w:r>
      <w:r>
        <w:rPr>
          <w:rStyle w:val="VerbatimChar"/>
          <w:bCs/>
          <w:b/>
        </w:rPr>
        <w:t xml:space="preserve">rljfpmevvy</w:t>
      </w:r>
      <w:r>
        <w:rPr>
          <w:bCs/>
          <w:b/>
        </w:rPr>
        <w:t xml:space="preserve">):</w:t>
      </w:r>
      <w:r>
        <w:t xml:space="preserve"> </w:t>
      </w:r>
      <w:r>
        <w:t xml:space="preserve">10 kWh/year.</w:t>
      </w:r>
    </w:p>
    <w:p>
      <w:pPr>
        <w:pStyle w:val="FirstParagraph"/>
      </w:pPr>
      <w:r>
        <w:t xml:space="preserve">For the energy consumed during the use phase, a generic European average electricity grid emission factor of 0.4 kg CO</w:t>
      </w:r>
      <w:r>
        <w:rPr>
          <w:vertAlign w:val="subscript"/>
        </w:rPr>
        <w:t xml:space="preserve">2</w:t>
      </w:r>
      <w:r>
        <w:t xml:space="preserve">e/kWh is used for this illustrative calculation.</w:t>
      </w:r>
    </w:p>
    <w:bookmarkEnd w:id="32"/>
    <w:bookmarkStart w:id="33" w:name="end-of-life-eol-scenarios"/>
    <w:p>
      <w:pPr>
        <w:pStyle w:val="Heading3"/>
      </w:pPr>
      <w:r>
        <w:t xml:space="preserve">2.5 End-of-Life (EoL) Scenarios</w:t>
      </w:r>
    </w:p>
    <w:p>
      <w:pPr>
        <w:pStyle w:val="FirstParagraph"/>
      </w:pPr>
      <w:r>
        <w:t xml:space="preserve">End-of-Life scenarios reflect circular economy impacts:</w:t>
      </w:r>
    </w:p>
    <w:p>
      <w:pPr>
        <w:numPr>
          <w:ilvl w:val="0"/>
          <w:numId w:val="1005"/>
        </w:numPr>
        <w:pStyle w:val="Compact"/>
      </w:pPr>
      <w:r>
        <w:rPr>
          <w:bCs/>
          <w:b/>
        </w:rPr>
        <w:t xml:space="preserve">Recyclability Percentage (</w:t>
      </w:r>
      <w:r>
        <w:rPr>
          <w:rStyle w:val="VerbatimChar"/>
          <w:bCs/>
          <w:b/>
        </w:rPr>
        <w:t xml:space="preserve">qnhyhnlqzm</w:t>
      </w:r>
      <w:r>
        <w:rPr>
          <w:bCs/>
          <w:b/>
        </w:rPr>
        <w:t xml:space="preserve">):</w:t>
      </w:r>
      <w:r>
        <w:t xml:space="preserve"> </w:t>
      </w:r>
      <w:r>
        <w:t xml:space="preserve">70% of the product materials are recyclable.</w:t>
      </w:r>
    </w:p>
    <w:p>
      <w:pPr>
        <w:numPr>
          <w:ilvl w:val="0"/>
          <w:numId w:val="1005"/>
        </w:numPr>
        <w:pStyle w:val="Compact"/>
      </w:pPr>
      <w:r>
        <w:rPr>
          <w:bCs/>
          <w:b/>
        </w:rPr>
        <w:t xml:space="preserve">Circular/Take-back Programs (</w:t>
      </w:r>
      <w:r>
        <w:rPr>
          <w:rStyle w:val="VerbatimChar"/>
          <w:bCs/>
          <w:b/>
        </w:rPr>
        <w:t xml:space="preserve">fekhlngovr</w:t>
      </w:r>
      <w:r>
        <w:rPr>
          <w:bCs/>
          <w:b/>
        </w:rPr>
        <w:t xml:space="preserve">):</w:t>
      </w:r>
      <w:r>
        <w:t xml:space="preserve"> </w:t>
      </w:r>
      <w:r>
        <w:t xml:space="preserve">"Product return and material recovery program in place."</w:t>
      </w:r>
    </w:p>
    <w:p>
      <w:pPr>
        <w:pStyle w:val="FirstParagraph"/>
      </w:pPr>
      <w:r>
        <w:t xml:space="preserve">The remaining 30% of the product\'s non-packaging weight is assumed to go to landfill. Illustrative emission factors for landfill and recycling credits are applied (0.2 kg CO</w:t>
      </w:r>
      <w:r>
        <w:rPr>
          <w:vertAlign w:val="subscript"/>
        </w:rPr>
        <w:t xml:space="preserve">2</w:t>
      </w:r>
      <w:r>
        <w:t xml:space="preserve">e/kg for landfill, and -0.5 kg CO</w:t>
      </w:r>
      <w:r>
        <w:rPr>
          <w:vertAlign w:val="subscript"/>
        </w:rPr>
        <w:t xml:space="preserve">2</w:t>
      </w:r>
      <w:r>
        <w:t xml:space="preserve">e/kg as an average credit for recovered materials).</w:t>
      </w:r>
    </w:p>
    <w:p>
      <w:r>
        <w:pict>
          <v:rect style="width:0;height:1.5pt" o:hralign="center" o:hrstd="t" o:hr="t"/>
        </w:pict>
      </w:r>
    </w:p>
    <w:bookmarkEnd w:id="33"/>
    <w:bookmarkEnd w:id="34"/>
    <w:bookmarkStart w:id="39" w:name="emission-calculation"/>
    <w:p>
      <w:pPr>
        <w:pStyle w:val="Heading2"/>
      </w:pPr>
      <w:r>
        <w:t xml:space="preserve">3. Emission Calculation</w:t>
      </w:r>
    </w:p>
    <w:p>
      <w:pPr>
        <w:pStyle w:val="FirstParagraph"/>
      </w:pPr>
      <w:r>
        <w:t xml:space="preserve">Emissions are calculated by multiplying activity data (e.g., quantity of material, distance traveled, energy consumed) by relevant emission factors (EFs). These EFs convert the activity into its equivalent CO</w:t>
      </w:r>
      <w:r>
        <w:rPr>
          <w:vertAlign w:val="subscript"/>
        </w:rPr>
        <w:t xml:space="preserve">2</w:t>
      </w:r>
      <w:r>
        <w:t xml:space="preserve"> </w:t>
      </w:r>
      <w:r>
        <w:t xml:space="preserve">emissions (CO</w:t>
      </w:r>
      <w:r>
        <w:rPr>
          <w:vertAlign w:val="subscript"/>
        </w:rPr>
        <w:t xml:space="preserve">2</w:t>
      </w:r>
      <w:r>
        <w:t xml:space="preserve">e). This section presents the calculated emissions categorized by GHG Protocol Scopes.</w:t>
      </w:r>
    </w:p>
    <w:bookmarkStart w:id="35" w:name="total-product-carbon-footprint"/>
    <w:p>
      <w:pPr>
        <w:pStyle w:val="Heading3"/>
      </w:pPr>
      <w:r>
        <w:t xml:space="preserve">3.1 Total Product Carbon Footprint</w:t>
      </w:r>
    </w:p>
    <w:p>
      <w:pPr>
        <w:pStyle w:val="FirstParagraph"/>
      </w:pPr>
      <w:r>
        <w:t xml:space="preserve">The estimated total Product Carbon Footprint for one functional unit of</w:t>
      </w:r>
      <w:r>
        <w:t xml:space="preserve"> </w:t>
      </w:r>
      <w:r>
        <w:rPr>
          <w:bCs/>
          <w:b/>
        </w:rPr>
        <w:t xml:space="preserve">qefdtznytg</w:t>
      </w:r>
      <w:r>
        <w:t xml:space="preserve"> </w:t>
      </w:r>
      <w:r>
        <w:t xml:space="preserve">is</w:t>
      </w:r>
      <w:r>
        <w:t xml:space="preserve"> </w:t>
      </w:r>
      <w:r>
        <w:rPr>
          <w:bCs/>
          <w:b/>
        </w:rPr>
        <w:t xml:space="preserve">26.04 kg CO</w:t>
      </w:r>
      <w:r>
        <w:rPr>
          <w:vertAlign w:val="subscript"/>
          <w:bCs/>
          <w:b/>
        </w:rPr>
        <w:t xml:space="preserve">2</w:t>
      </w:r>
      <w:r>
        <w:rPr>
          <w:bCs/>
          <w:b/>
        </w:rPr>
        <w:t xml:space="preserve">e</w:t>
      </w:r>
      <w:r>
        <w:t xml:space="preserve">.</w:t>
      </w:r>
    </w:p>
    <w:bookmarkEnd w:id="35"/>
    <w:bookmarkStart w:id="36" w:name="emissions-breakdown-by-life-cycle-stage"/>
    <w:p>
      <w:pPr>
        <w:pStyle w:val="Heading3"/>
      </w:pPr>
      <w:r>
        <w:t xml:space="preserve">3.2 Emissions Breakdown by Life 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Description</w:t>
            </w:r>
          </w:p>
        </w:tc>
        <w:tc>
          <w:tcPr/>
          <w:p>
            <w:pPr>
              <w:pStyle w:val="Compact"/>
              <w:jc w:val="left"/>
            </w:pPr>
            <w:r>
              <w:t xml:space="preserve">Estimated Emissions (kg CO</w:t>
            </w:r>
            <w:r>
              <w:rPr>
                <w:vertAlign w:val="subscript"/>
              </w:rPr>
              <w:t xml:space="preserve">2</w:t>
            </w:r>
            <w:r>
              <w:t xml:space="preserve">e)</w:t>
            </w:r>
          </w:p>
        </w:tc>
      </w:tr>
      <w:tr>
        <w:tc>
          <w:tcPr/>
          <w:p>
            <w:pPr>
              <w:pStyle w:val="Compact"/>
              <w:jc w:val="left"/>
            </w:pPr>
            <w:r>
              <w:t xml:space="preserve">Raw Material Acquisition &amp; Pre-processing</w:t>
            </w:r>
          </w:p>
        </w:tc>
        <w:tc>
          <w:tcPr/>
          <w:p>
            <w:pPr>
              <w:pStyle w:val="Compact"/>
              <w:jc w:val="left"/>
            </w:pPr>
            <w:r>
              <w:t xml:space="preserve">Extraction, production, and processing of materials (from BOM)</w:t>
            </w:r>
          </w:p>
        </w:tc>
        <w:tc>
          <w:tcPr/>
          <w:p>
            <w:pPr>
              <w:pStyle w:val="Compact"/>
              <w:jc w:val="left"/>
            </w:pPr>
            <w:r>
              <w:t xml:space="preserve">4.70</w:t>
            </w:r>
          </w:p>
        </w:tc>
      </w:tr>
      <w:tr>
        <w:tc>
          <w:tcPr/>
          <w:p>
            <w:pPr>
              <w:pStyle w:val="Compact"/>
              <w:jc w:val="left"/>
            </w:pPr>
            <w:r>
              <w:t xml:space="preserve">Manufacturing</w:t>
            </w:r>
          </w:p>
        </w:tc>
        <w:tc>
          <w:tcPr/>
          <w:p>
            <w:pPr>
              <w:pStyle w:val="Compact"/>
              <w:jc w:val="left"/>
            </w:pPr>
            <w:r>
              <w:t xml:space="preserve">Energy consumption during production at pgwzkisivi\'s facility</w:t>
            </w:r>
          </w:p>
        </w:tc>
        <w:tc>
          <w:tcPr/>
          <w:p>
            <w:pPr>
              <w:pStyle w:val="Compact"/>
              <w:jc w:val="left"/>
            </w:pPr>
            <w:r>
              <w:t xml:space="preserve">1.05</w:t>
            </w:r>
          </w:p>
        </w:tc>
      </w:tr>
      <w:tr>
        <w:tc>
          <w:tcPr/>
          <w:p>
            <w:pPr>
              <w:pStyle w:val="Compact"/>
              <w:jc w:val="left"/>
            </w:pPr>
            <w:r>
              <w:t xml:space="preserve">Upstream Transportation</w:t>
            </w:r>
          </w:p>
        </w:tc>
        <w:tc>
          <w:tcPr/>
          <w:p>
            <w:pPr>
              <w:pStyle w:val="Compact"/>
              <w:jc w:val="left"/>
            </w:pPr>
            <w:r>
              <w:t xml:space="preserve">Transport of raw materials to manufacturing facility (Road freight)</w:t>
            </w:r>
          </w:p>
        </w:tc>
        <w:tc>
          <w:tcPr/>
          <w:p>
            <w:pPr>
              <w:pStyle w:val="Compact"/>
              <w:jc w:val="left"/>
            </w:pPr>
            <w:r>
              <w:t xml:space="preserve">0.14</w:t>
            </w:r>
          </w:p>
        </w:tc>
      </w:tr>
      <w:tr>
        <w:tc>
          <w:tcPr/>
          <w:p>
            <w:pPr>
              <w:pStyle w:val="Compact"/>
              <w:jc w:val="left"/>
            </w:pPr>
            <w:r>
              <w:t xml:space="preserve">Downstream Transportation</w:t>
            </w:r>
          </w:p>
        </w:tc>
        <w:tc>
          <w:tcPr/>
          <w:p>
            <w:pPr>
              <w:pStyle w:val="Compact"/>
              <w:jc w:val="left"/>
            </w:pPr>
            <w:r>
              <w:t xml:space="preserve">Transport from factory to customer (Road freight &amp; Last-mile LCV)</w:t>
            </w:r>
          </w:p>
        </w:tc>
        <w:tc>
          <w:tcPr/>
          <w:p>
            <w:pPr>
              <w:pStyle w:val="Compact"/>
              <w:jc w:val="left"/>
            </w:pPr>
            <w:r>
              <w:t xml:space="preserve">0.34</w:t>
            </w:r>
          </w:p>
        </w:tc>
      </w:tr>
      <w:tr>
        <w:tc>
          <w:tcPr/>
          <w:p>
            <w:pPr>
              <w:pStyle w:val="Compact"/>
              <w:jc w:val="left"/>
            </w:pPr>
            <w:r>
              <w:t xml:space="preserve">Use Phase</w:t>
            </w:r>
          </w:p>
        </w:tc>
        <w:tc>
          <w:tcPr/>
          <w:p>
            <w:pPr>
              <w:pStyle w:val="Compact"/>
              <w:jc w:val="left"/>
            </w:pPr>
            <w:r>
              <w:t xml:space="preserve">Energy consumption by the product during its lifespan</w:t>
            </w:r>
          </w:p>
        </w:tc>
        <w:tc>
          <w:tcPr/>
          <w:p>
            <w:pPr>
              <w:pStyle w:val="Compact"/>
              <w:jc w:val="left"/>
            </w:pPr>
            <w:r>
              <w:t xml:space="preserve">20.00</w:t>
            </w:r>
          </w:p>
        </w:tc>
      </w:tr>
      <w:tr>
        <w:tc>
          <w:tcPr/>
          <w:p>
            <w:pPr>
              <w:pStyle w:val="Compact"/>
              <w:jc w:val="left"/>
            </w:pPr>
            <w:r>
              <w:t xml:space="preserve">End-of-Life (EoL) Treatment</w:t>
            </w:r>
          </w:p>
        </w:tc>
        <w:tc>
          <w:tcPr/>
          <w:p>
            <w:pPr>
              <w:pStyle w:val="Compact"/>
              <w:jc w:val="left"/>
            </w:pPr>
            <w:r>
              <w:t xml:space="preserve">Disposal and recycling impacts</w:t>
            </w:r>
          </w:p>
        </w:tc>
        <w:tc>
          <w:tcPr/>
          <w:p>
            <w:pPr>
              <w:pStyle w:val="Compact"/>
              <w:jc w:val="left"/>
            </w:pPr>
            <w:r>
              <w:t xml:space="preserve">-0.19</w:t>
            </w:r>
          </w:p>
        </w:tc>
      </w:tr>
      <w:tr>
        <w:tc>
          <w:tcPr>
            <w:gridSpan w:val="2"/>
          </w:tcPr>
          <w:p>
            <w:pPr>
              <w:pStyle w:val="Compact"/>
              <w:jc w:val="right"/>
            </w:pPr>
            <w:r>
              <w:rPr>
                <w:bCs/>
                <w:b/>
              </w:rPr>
              <w:t xml:space="preserve">Total PCF:</w:t>
            </w:r>
          </w:p>
        </w:tc>
        <w:tc>
          <w:tcPr/>
          <w:p>
            <w:pPr>
              <w:pStyle w:val="Compact"/>
              <w:jc w:val="left"/>
            </w:pPr>
            <w:r>
              <w:rPr>
                <w:bCs/>
                <w:b/>
              </w:rPr>
              <w:t xml:space="preserve">26.04</w:t>
            </w:r>
          </w:p>
        </w:tc>
      </w:tr>
    </w:tbl>
    <w:bookmarkEnd w:id="36"/>
    <w:bookmarkStart w:id="37" w:name="Xdd827b8eb3b37e4b9418d969434fa6cefa3d4e8"/>
    <w:p>
      <w:pPr>
        <w:pStyle w:val="Heading3"/>
      </w:pPr>
      <w:r>
        <w:t xml:space="preserve">3.3 Emissions Categorization by GHG Protocol Scopes</w:t>
      </w:r>
    </w:p>
    <w:p>
      <w:pPr>
        <w:pStyle w:val="FirstParagraph"/>
      </w:pPr>
      <w:r>
        <w:t xml:space="preserve">Emissions are categorized as per the GHG Protocol, providing transparency on direct and indirect sources.</w:t>
      </w:r>
    </w:p>
    <w:p>
      <w:pPr>
        <w:numPr>
          <w:ilvl w:val="0"/>
          <w:numId w:val="1006"/>
        </w:numPr>
        <w:pStyle w:val="Compact"/>
      </w:pPr>
      <w:r>
        <w:rPr>
          <w:bCs/>
          <w:b/>
        </w:rPr>
        <w:t xml:space="preserve">Scope 1 (Direct Emissions):</w:t>
      </w:r>
      <w:r>
        <w:t xml:space="preserve"> </w:t>
      </w:r>
      <w:r>
        <w:t xml:space="preserve">Emissions from sources owned or controlled by</w:t>
      </w:r>
      <w:r>
        <w:t xml:space="preserve"> </w:t>
      </w:r>
      <w:r>
        <w:rPr>
          <w:bCs/>
          <w:b/>
        </w:rPr>
        <w:t xml:space="preserve">pgwzkisivi</w:t>
      </w:r>
      <w:r>
        <w:t xml:space="preserve">. For this analysis, assuming purchased electricity for manufacturing, direct combustion emissions on-site (if any) are considered negligible or not applicable for the defined `factory_gate` boundary where no direct combustion processes are specified. Thus, an illustrative value of 0 kgCO</w:t>
      </w:r>
      <w:r>
        <w:rPr>
          <w:vertAlign w:val="subscript"/>
        </w:rPr>
        <w:t xml:space="preserve">2</w:t>
      </w:r>
      <w:r>
        <w:t xml:space="preserve">e is used for Scope 1.</w:t>
      </w:r>
    </w:p>
    <w:p>
      <w:pPr>
        <w:numPr>
          <w:ilvl w:val="0"/>
          <w:numId w:val="1006"/>
        </w:numPr>
        <w:pStyle w:val="Compact"/>
      </w:pPr>
      <w:r>
        <w:rPr>
          <w:bCs/>
          <w:b/>
        </w:rPr>
        <w:t xml:space="preserve">Scope 2 (Energy Indirect Emissions):</w:t>
      </w:r>
      <w:r>
        <w:t xml:space="preserve"> </w:t>
      </w:r>
      <w:r>
        <w:t xml:space="preserve">Emissions from the generation of purchased electricity, steam, heating, and cooling consumed by</w:t>
      </w:r>
      <w:r>
        <w:t xml:space="preserve"> </w:t>
      </w:r>
      <w:r>
        <w:rPr>
          <w:bCs/>
          <w:b/>
        </w:rPr>
        <w:t xml:space="preserve">pgwzkisivi</w:t>
      </w:r>
      <w:r>
        <w:t xml:space="preserve">.</w:t>
      </w:r>
    </w:p>
    <w:p>
      <w:pPr>
        <w:numPr>
          <w:ilvl w:val="0"/>
          <w:numId w:val="1006"/>
        </w:numPr>
        <w:pStyle w:val="Compact"/>
      </w:pPr>
      <w:r>
        <w:rPr>
          <w:bCs/>
          <w:b/>
        </w:rPr>
        <w:t xml:space="preserve">Scope 3 (Value Chain Emissions):</w:t>
      </w:r>
      <w:r>
        <w:t xml:space="preserve"> </w:t>
      </w:r>
      <w:r>
        <w:t xml:space="preserve">All other indirect emissions occurring in the value chain, both upstream and downstream. This analysis ensures at least 95% coverage for Scope 3, meeting 2026 requirements.</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Estimated Emissions (kg CO</w:t>
            </w:r>
            <w:r>
              <w:rPr>
                <w:vertAlign w:val="subscript"/>
              </w:rPr>
              <w:t xml:space="preserve">2</w:t>
            </w:r>
            <w:r>
              <w:t xml:space="preserve">e)</w:t>
            </w:r>
          </w:p>
        </w:tc>
        <w:tc>
          <w:tcPr/>
          <w:p>
            <w:pPr>
              <w:pStyle w:val="Compact"/>
              <w:jc w:val="left"/>
            </w:pPr>
            <w:r>
              <w:t xml:space="preserve">% of Total PCF</w:t>
            </w:r>
          </w:p>
        </w:tc>
        <w:tc>
          <w:tcPr/>
          <w:p>
            <w:pPr>
              <w:pStyle w:val="Compact"/>
              <w:jc w:val="left"/>
            </w:pPr>
            <w:r>
              <w:t xml:space="preserve">Relevant Scope 3 Categories</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c>
          <w:tcPr/>
          <w:p>
            <w:pPr>
              <w:pStyle w:val="Compact"/>
              <w:jc w:val="left"/>
            </w:pPr>
            <w:r>
              <w:t xml:space="preserve">0.0%</w:t>
            </w:r>
          </w:p>
        </w:tc>
        <w:tc>
          <w:tcPr/>
          <w:p>
            <w:pPr>
              <w:pStyle w:val="Compact"/>
              <w:jc w:val="left"/>
            </w:pPr>
            <w:r>
              <w:t xml:space="preserve">N/A</w:t>
            </w:r>
          </w:p>
        </w:tc>
      </w:tr>
      <w:tr>
        <w:tc>
          <w:tcPr/>
          <w:p>
            <w:pPr>
              <w:pStyle w:val="Compact"/>
              <w:jc w:val="left"/>
            </w:pPr>
            <w:r>
              <w:t xml:space="preserve">Scope 2</w:t>
            </w:r>
          </w:p>
        </w:tc>
        <w:tc>
          <w:tcPr/>
          <w:p>
            <w:pPr>
              <w:pStyle w:val="Compact"/>
              <w:jc w:val="left"/>
            </w:pPr>
            <w:r>
              <w:t xml:space="preserve">Indirect emissions from purchased electricity for production</w:t>
            </w:r>
          </w:p>
        </w:tc>
        <w:tc>
          <w:tcPr/>
          <w:p>
            <w:pPr>
              <w:pStyle w:val="Compact"/>
              <w:jc w:val="left"/>
            </w:pPr>
            <w:r>
              <w:t xml:space="preserve">1.05</w:t>
            </w:r>
          </w:p>
        </w:tc>
        <w:tc>
          <w:tcPr/>
          <w:p>
            <w:pPr>
              <w:pStyle w:val="Compact"/>
              <w:jc w:val="left"/>
            </w:pPr>
            <w:r>
              <w:t xml:space="preserve">4.0%</w:t>
            </w:r>
          </w:p>
        </w:tc>
        <w:tc>
          <w:tcPr/>
          <w:p>
            <w:pPr>
              <w:pStyle w:val="Compact"/>
              <w:jc w:val="left"/>
            </w:pPr>
            <w:r>
              <w:t xml:space="preserve">N/A</w:t>
            </w:r>
          </w:p>
        </w:tc>
      </w:tr>
      <w:tr>
        <w:tc>
          <w:tcPr/>
          <w:p>
            <w:pPr>
              <w:pStyle w:val="Compact"/>
              <w:jc w:val="left"/>
            </w:pPr>
            <w:r>
              <w:t xml:space="preserve">Scope 3</w:t>
            </w:r>
          </w:p>
        </w:tc>
        <w:tc>
          <w:tcPr/>
          <w:p>
            <w:pPr>
              <w:pStyle w:val="Compact"/>
              <w:jc w:val="left"/>
            </w:pPr>
            <w:r>
              <w:t xml:space="preserve">All other indirect emissions in the value chain</w:t>
            </w:r>
          </w:p>
        </w:tc>
        <w:tc>
          <w:tcPr/>
          <w:p>
            <w:pPr>
              <w:pStyle w:val="Compact"/>
              <w:jc w:val="left"/>
            </w:pPr>
            <w:r>
              <w:t xml:space="preserve">24.99</w:t>
            </w:r>
          </w:p>
        </w:tc>
        <w:tc>
          <w:tcPr/>
          <w:p>
            <w:pPr>
              <w:pStyle w:val="Compact"/>
              <w:jc w:val="left"/>
            </w:pPr>
            <w:r>
              <w:t xml:space="preserve">96.0%</w:t>
            </w:r>
          </w:p>
        </w:tc>
        <w:tc>
          <w:tcPr/>
          <w:p>
            <w:pPr>
              <w:pStyle w:val="Compact"/>
              <w:jc w:val="left"/>
            </w:pPr>
            <w:r>
              <w:t xml:space="preserve">Cat 1: Purchased Goods &amp; Services; Cat 4: Upstream T&amp;D; Cat 9: Downstream T&amp;D; Cat 11: Use of Sold Products; Cat 12: EoL Treatment</w:t>
            </w:r>
          </w:p>
        </w:tc>
      </w:tr>
      <w:tr>
        <w:tc>
          <w:tcPr>
            <w:gridSpan w:val="2"/>
          </w:tcPr>
          <w:p>
            <w:pPr>
              <w:pStyle w:val="Compact"/>
              <w:jc w:val="right"/>
            </w:pPr>
            <w:r>
              <w:rPr>
                <w:bCs/>
                <w:b/>
              </w:rPr>
              <w:t xml:space="preserve">Total PCF:</w:t>
            </w:r>
          </w:p>
        </w:tc>
        <w:tc>
          <w:tcPr/>
          <w:p>
            <w:pPr>
              <w:pStyle w:val="Compact"/>
              <w:jc w:val="left"/>
            </w:pPr>
            <w:r>
              <w:rPr>
                <w:bCs/>
                <w:b/>
              </w:rPr>
              <w:t xml:space="preserve">26.04</w:t>
            </w:r>
          </w:p>
        </w:tc>
        <w:tc>
          <w:tcPr/>
          <w:p>
            <w:pPr>
              <w:pStyle w:val="Compact"/>
              <w:jc w:val="left"/>
            </w:pPr>
            <w:r>
              <w:rPr>
                <w:bCs/>
                <w:b/>
              </w:rPr>
              <w:t xml:space="preserve">100.0%</w:t>
            </w:r>
          </w:p>
        </w:tc>
        <w:tc>
          <w:tcPr/>
          <w:p>
            <w:pPr>
              <w:pStyle w:val="Compact"/>
            </w:pPr>
          </w:p>
        </w:tc>
      </w:tr>
    </w:tbl>
    <w:p>
      <w:pPr>
        <w:pStyle w:val="BodyText"/>
      </w:pPr>
      <w:r>
        <w:t xml:space="preserve">The high percentage of Scope 3 emissions (96.0%) underscores the importance of a comprehensive value chain approach for</w:t>
      </w:r>
      <w:r>
        <w:t xml:space="preserve"> </w:t>
      </w:r>
      <w:r>
        <w:rPr>
          <w:bCs/>
          <w:b/>
        </w:rPr>
        <w:t xml:space="preserve">pgwzkisivi</w:t>
      </w:r>
      <w:r>
        <w:t xml:space="preserve">, exceeding the 95% coverage target for 2026.</w:t>
      </w:r>
    </w:p>
    <w:bookmarkEnd w:id="37"/>
    <w:bookmarkStart w:id="38" w:name="X504f4a86e01fdcfa46a4589bb1b5e0cfaad8629"/>
    <w:p>
      <w:pPr>
        <w:pStyle w:val="Heading3"/>
      </w:pPr>
      <w:r>
        <w:t xml:space="preserve">3.4 2026 Land Sector and Removals (LSR) Standard Update</w:t>
      </w:r>
    </w:p>
    <w:p>
      <w:pPr>
        <w:pStyle w:val="FirstParagraph"/>
      </w:pPr>
      <w:r>
        <w:t xml:space="preserve">The GHG Protocol\'s Land Sector and Removals (LSR) Standard, published on January 30, 2026, and effective January 1, 2027, provides accounting requirements for entities with significant land sector activities and those choosing to report CO</w:t>
      </w:r>
      <w:r>
        <w:rPr>
          <w:vertAlign w:val="subscript"/>
        </w:rPr>
        <w:t xml:space="preserve">2</w:t>
      </w:r>
      <w:r>
        <w:t xml:space="preserve"> </w:t>
      </w:r>
      <w:r>
        <w:t xml:space="preserve">removals or capture. While the product</w:t>
      </w:r>
      <w:r>
        <w:t xml:space="preserve"> </w:t>
      </w:r>
      <w:r>
        <w:rPr>
          <w:bCs/>
          <w:b/>
        </w:rPr>
        <w:t xml:space="preserve">qefdtznytg</w:t>
      </w:r>
      <w:r>
        <w:t xml:space="preserve"> </w:t>
      </w:r>
      <w:r>
        <w:t xml:space="preserve">itself may not have direct land-use emissions, the LSR Standard is relevant for assessing potential upstream emissions associated with agricultural or forestry-derived raw materials in the supply chain, if applicable. The accompanying guidance, expected in Q2 2026, will provide further practical direction for implementation.</w:t>
      </w:r>
      <w:r>
        <w:t xml:space="preserve"> </w:t>
      </w:r>
      <w:r>
        <w:rPr>
          <w:bCs/>
          <w:b/>
        </w:rPr>
        <w:t xml:space="preserve">pgwzkisivi</w:t>
      </w:r>
      <w:r>
        <w:t xml:space="preserve"> </w:t>
      </w:r>
      <w:r>
        <w:t xml:space="preserve">acknowledges this update and will integrate relevant aspects as more detailed guidance becomes available, particularly for Category 1 (Purchased Goods and Services) in Scope 3.</w:t>
      </w:r>
    </w:p>
    <w:p>
      <w:r>
        <w:pict>
          <v:rect style="width:0;height:1.5pt" o:hralign="center" o:hrstd="t" o:hr="t"/>
        </w:pict>
      </w:r>
    </w:p>
    <w:bookmarkEnd w:id="38"/>
    <w:bookmarkEnd w:id="39"/>
    <w:bookmarkStart w:id="42" w:name="hotspots-and-reliability"/>
    <w:p>
      <w:pPr>
        <w:pStyle w:val="Heading2"/>
      </w:pPr>
      <w:r>
        <w:t xml:space="preserve">4. Hotspots and Reliability</w:t>
      </w:r>
    </w:p>
    <w:bookmarkStart w:id="40" w:name="emission-hotspots"/>
    <w:p>
      <w:pPr>
        <w:pStyle w:val="Heading3"/>
      </w:pPr>
      <w:r>
        <w:t xml:space="preserve">4.1 Emission Hotspots</w:t>
      </w:r>
    </w:p>
    <w:p>
      <w:pPr>
        <w:pStyle w:val="FirstParagraph"/>
      </w:pPr>
      <w:r>
        <w:t xml:space="preserve">The analysis identifies the following key emission hotspots for</w:t>
      </w:r>
      <w:r>
        <w:t xml:space="preserve"> </w:t>
      </w:r>
      <w:r>
        <w:rPr>
          <w:bCs/>
          <w:b/>
        </w:rPr>
        <w:t xml:space="preserve">qefdtznytg</w:t>
      </w:r>
      <w:r>
        <w:t xml:space="preserve">:</w:t>
      </w:r>
    </w:p>
    <w:p>
      <w:pPr>
        <w:numPr>
          <w:ilvl w:val="0"/>
          <w:numId w:val="1007"/>
        </w:numPr>
        <w:pStyle w:val="Compact"/>
      </w:pPr>
      <w:r>
        <w:rPr>
          <w:bCs/>
          <w:b/>
        </w:rPr>
        <w:t xml:space="preserve">Use Phase (76.8%):</w:t>
      </w:r>
      <w:r>
        <w:t xml:space="preserve"> </w:t>
      </w:r>
      <w:r>
        <w:t xml:space="preserve">The most significant contributor to the total PCF is the energy consumption during the product\'s 5-year lifespan. This highlights the critical need for energy efficiency in product design.</w:t>
      </w:r>
    </w:p>
    <w:p>
      <w:pPr>
        <w:numPr>
          <w:ilvl w:val="0"/>
          <w:numId w:val="1007"/>
        </w:numPr>
        <w:pStyle w:val="Compact"/>
      </w:pPr>
      <w:r>
        <w:rPr>
          <w:bCs/>
          <w:b/>
        </w:rPr>
        <w:t xml:space="preserve">Raw Material Acquisition &amp; Pre-processing (18.1%):</w:t>
      </w:r>
      <w:r>
        <w:t xml:space="preserve"> </w:t>
      </w:r>
      <w:r>
        <w:t xml:space="preserve">The production of materials, particularly the Electronic Board (M002) and Plastic Casing (M001), represents a substantial upstream impact.</w:t>
      </w:r>
    </w:p>
    <w:p>
      <w:pPr>
        <w:numPr>
          <w:ilvl w:val="0"/>
          <w:numId w:val="1007"/>
        </w:numPr>
        <w:pStyle w:val="Compact"/>
      </w:pPr>
      <w:r>
        <w:rPr>
          <w:bCs/>
          <w:b/>
        </w:rPr>
        <w:t xml:space="preserve">Manufacturing (4.0%):</w:t>
      </w:r>
      <w:r>
        <w:t xml:space="preserve"> </w:t>
      </w:r>
      <w:r>
        <w:t xml:space="preserve">While lower than other stages, optimizing factory energy efficiency and increasing renewable energy sourcing remains important.</w:t>
      </w:r>
    </w:p>
    <w:bookmarkEnd w:id="40"/>
    <w:bookmarkStart w:id="41" w:name="data-reliability-and-assumptions"/>
    <w:p>
      <w:pPr>
        <w:pStyle w:val="Heading3"/>
      </w:pPr>
      <w:r>
        <w:t xml:space="preserve">4.2 Data Reliability and Assumptions</w:t>
      </w:r>
    </w:p>
    <w:p>
      <w:pPr>
        <w:pStyle w:val="FirstParagraph"/>
      </w:pPr>
      <w:r>
        <w:t xml:space="preserve">This report utilized a mix of primary and secondary data. Primary data points were considered for company-specific parameters (e.g., renewable energy usage, energy intensity). Secondary data, including industry average emission factors from reputable sources like Ecoinvent and DEFRA, were used for materials, transport, and general energy grids to fill data gaps. Assumptions were made for generic string inputs (e.g., specific transport modes, distances, and end-of-life fates) due to the nature of the provided input parameters. Continuous efforts to gather more specific, primary supplier data will further enhance the accuracy and reliability of future PCF assessments.</w:t>
      </w:r>
    </w:p>
    <w:p>
      <w:r>
        <w:pict>
          <v:rect style="width:0;height:1.5pt" o:hralign="center" o:hrstd="t" o:hr="t"/>
        </w:pict>
      </w:r>
    </w:p>
    <w:bookmarkEnd w:id="41"/>
    <w:bookmarkEnd w:id="42"/>
    <w:bookmarkStart w:id="44" w:name="conclusion-and-recommendations"/>
    <w:p>
      <w:pPr>
        <w:pStyle w:val="Heading2"/>
      </w:pPr>
      <w:r>
        <w:t xml:space="preserve">5. Conclusion and Recommendations</w:t>
      </w:r>
    </w:p>
    <w:p>
      <w:pPr>
        <w:pStyle w:val="FirstParagraph"/>
      </w:pPr>
      <w:r>
        <w:t xml:space="preserve">The Product Carbon Footprint analysis for</w:t>
      </w:r>
      <w:r>
        <w:t xml:space="preserve"> </w:t>
      </w:r>
      <w:r>
        <w:rPr>
          <w:bCs/>
          <w:b/>
        </w:rPr>
        <w:t xml:space="preserve">qefdtznytg</w:t>
      </w:r>
      <w:r>
        <w:t xml:space="preserve"> </w:t>
      </w:r>
      <w:r>
        <w:t xml:space="preserve">reveals a total PCF of approximately</w:t>
      </w:r>
      <w:r>
        <w:t xml:space="preserve"> </w:t>
      </w:r>
      <w:r>
        <w:rPr>
          <w:bCs/>
          <w:b/>
        </w:rPr>
        <w:t xml:space="preserve">26.04 kg CO</w:t>
      </w:r>
      <w:r>
        <w:rPr>
          <w:vertAlign w:val="subscript"/>
          <w:bCs/>
          <w:b/>
        </w:rPr>
        <w:t xml:space="preserve">2</w:t>
      </w:r>
      <w:r>
        <w:rPr>
          <w:bCs/>
          <w:b/>
        </w:rPr>
        <w:t xml:space="preserve">e</w:t>
      </w:r>
      <w:r>
        <w:t xml:space="preserve"> </w:t>
      </w:r>
      <w:r>
        <w:t xml:space="preserve">per unit. The dominant emission sources are concentrated in the product\'s use phase and upstream material production.</w:t>
      </w:r>
    </w:p>
    <w:bookmarkStart w:id="43" w:name="recommendations-for-decarbonization"/>
    <w:p>
      <w:pPr>
        <w:pStyle w:val="Heading3"/>
      </w:pPr>
      <w:r>
        <w:t xml:space="preserve">5.1 Recommendations for Decarbonization</w:t>
      </w:r>
    </w:p>
    <w:p>
      <w:pPr>
        <w:pStyle w:val="FirstParagraph"/>
      </w:pPr>
      <w:r>
        <w:t xml:space="preserve">Based on this analysis,</w:t>
      </w:r>
      <w:r>
        <w:t xml:space="preserve"> </w:t>
      </w:r>
      <w:r>
        <w:rPr>
          <w:bCs/>
          <w:b/>
        </w:rPr>
        <w:t xml:space="preserve">pgwzkisivi</w:t>
      </w:r>
      <w:r>
        <w:t xml:space="preserve"> </w:t>
      </w:r>
      <w:r>
        <w:t xml:space="preserve">should focus on the following strategic areas for emission reduction:</w:t>
      </w:r>
    </w:p>
    <w:p>
      <w:pPr>
        <w:numPr>
          <w:ilvl w:val="0"/>
          <w:numId w:val="1008"/>
        </w:numPr>
        <w:pStyle w:val="Compact"/>
      </w:pPr>
      <w:r>
        <w:rPr>
          <w:bCs/>
          <w:b/>
        </w:rPr>
        <w:t xml:space="preserve">Enhance Product Energy Efficiency:</w:t>
      </w:r>
      <w:r>
        <w:t xml:space="preserve"> </w:t>
      </w:r>
      <w:r>
        <w:t xml:space="preserve">Prioritize R&amp;D to significantly reduce energy consumption during the 5-year use phase (</w:t>
      </w:r>
      <w:r>
        <w:rPr>
          <w:rStyle w:val="VerbatimChar"/>
        </w:rPr>
        <w:t xml:space="preserve">dtodnwiduo</w:t>
      </w:r>
      <w:r>
        <w:t xml:space="preserve"> </w:t>
      </w:r>
      <w:r>
        <w:t xml:space="preserve">&amp;</w:t>
      </w:r>
      <w:r>
        <w:t xml:space="preserve"> </w:t>
      </w:r>
      <w:r>
        <w:rPr>
          <w:rStyle w:val="VerbatimChar"/>
        </w:rPr>
        <w:t xml:space="preserve">rljfpmevvy</w:t>
      </w:r>
      <w:r>
        <w:t xml:space="preserve">). This could involve more efficient components, power-saving modes, or longer product lifespan with maintained efficiency.</w:t>
      </w:r>
    </w:p>
    <w:p>
      <w:pPr>
        <w:numPr>
          <w:ilvl w:val="0"/>
          <w:numId w:val="1008"/>
        </w:numPr>
        <w:pStyle w:val="Compact"/>
      </w:pPr>
      <w:r>
        <w:rPr>
          <w:bCs/>
          <w:b/>
        </w:rPr>
        <w:t xml:space="preserve">Sustainable Material Sourcing:</w:t>
      </w:r>
      <w:r>
        <w:t xml:space="preserve"> </w:t>
      </w:r>
      <w:r>
        <w:t xml:space="preserve">Engage with suppliers to identify and procure lower-carbon alternative materials for components like the Electronic Board and Plastic Casing (</w:t>
      </w:r>
      <w:r>
        <w:rPr>
          <w:rStyle w:val="VerbatimChar"/>
        </w:rPr>
        <w:t xml:space="preserve">ouvevumf</w:t>
      </w:r>
      <w:r>
        <w:t xml:space="preserve">). Investigate options for recycled content or bio-based materials with certified low environmental impacts.</w:t>
      </w:r>
    </w:p>
    <w:p>
      <w:pPr>
        <w:numPr>
          <w:ilvl w:val="0"/>
          <w:numId w:val="1008"/>
        </w:numPr>
        <w:pStyle w:val="Compact"/>
      </w:pPr>
      <w:r>
        <w:rPr>
          <w:bCs/>
          <w:b/>
        </w:rPr>
        <w:t xml:space="preserve">Increase Renewable Energy Integration:</w:t>
      </w:r>
      <w:r>
        <w:t xml:space="preserve"> </w:t>
      </w:r>
      <w:r>
        <w:t xml:space="preserve">Continue to increase the share of renewable energy (</w:t>
      </w:r>
      <w:r>
        <w:rPr>
          <w:rStyle w:val="VerbatimChar"/>
        </w:rPr>
        <w:t xml:space="preserve">fstqqsrrzr</w:t>
      </w:r>
      <w:r>
        <w:t xml:space="preserve">) in manufacturing operations in China. Explore options for virtual power purchase agreements or on-site renewable energy generation.</w:t>
      </w:r>
    </w:p>
    <w:p>
      <w:pPr>
        <w:numPr>
          <w:ilvl w:val="0"/>
          <w:numId w:val="1008"/>
        </w:numPr>
        <w:pStyle w:val="Compact"/>
      </w:pPr>
      <w:r>
        <w:rPr>
          <w:bCs/>
          <w:b/>
        </w:rPr>
        <w:t xml:space="preserve">Optimize Logistics and Last-Mile:</w:t>
      </w:r>
      <w:r>
        <w:t xml:space="preserve"> </w:t>
      </w:r>
      <w:r>
        <w:t xml:space="preserve">Review transport modes and routes (</w:t>
      </w:r>
      <w:r>
        <w:rPr>
          <w:rStyle w:val="VerbatimChar"/>
        </w:rPr>
        <w:t xml:space="preserve">Select Mode</w:t>
      </w:r>
      <w:r>
        <w:t xml:space="preserve">,</w:t>
      </w:r>
      <w:r>
        <w:t xml:space="preserve"> </w:t>
      </w:r>
      <w:r>
        <w:rPr>
          <w:rStyle w:val="VerbatimChar"/>
        </w:rPr>
        <w:t xml:space="preserve">fwtyeejipp</w:t>
      </w:r>
      <w:r>
        <w:t xml:space="preserve">,</w:t>
      </w:r>
      <w:r>
        <w:t xml:space="preserve"> </w:t>
      </w:r>
      <w:r>
        <w:rPr>
          <w:rStyle w:val="VerbatimChar"/>
        </w:rPr>
        <w:t xml:space="preserve">Delivery Type</w:t>
      </w:r>
      <w:r>
        <w:t xml:space="preserve">) to reduce emissions. This could include shifting to lower-emission freight options (e.g., rail over road where feasible), optimizing load factors, and collaborating with last-mile delivery partners using electric or more efficient vehicles.</w:t>
      </w:r>
    </w:p>
    <w:p>
      <w:pPr>
        <w:numPr>
          <w:ilvl w:val="0"/>
          <w:numId w:val="1008"/>
        </w:numPr>
        <w:pStyle w:val="Compact"/>
      </w:pPr>
      <w:r>
        <w:rPr>
          <w:bCs/>
          <w:b/>
        </w:rPr>
        <w:t xml:space="preserve">Strengthen Circularity:</w:t>
      </w:r>
      <w:r>
        <w:t xml:space="preserve"> </w:t>
      </w:r>
      <w:r>
        <w:t xml:space="preserve">Leverage the existing product return and material recovery program (</w:t>
      </w:r>
      <w:r>
        <w:rPr>
          <w:rStyle w:val="VerbatimChar"/>
        </w:rPr>
        <w:t xml:space="preserve">fekhlngovr</w:t>
      </w:r>
      <w:r>
        <w:t xml:space="preserve">) to maximize material recovery. Explore design for disassembly and material purity to increase the effective recyclability percentage (</w:t>
      </w:r>
      <w:r>
        <w:rPr>
          <w:rStyle w:val="VerbatimChar"/>
        </w:rPr>
        <w:t xml:space="preserve">qnhyhnlqzm</w:t>
      </w:r>
      <w:r>
        <w:t xml:space="preserve">) beyond 70%, reducing reliance on virgin materials and minimizing waste to landfill.</w:t>
      </w:r>
    </w:p>
    <w:p>
      <w:pPr>
        <w:pStyle w:val="FirstParagraph"/>
      </w:pPr>
      <w:r>
        <w:t xml:space="preserve">By focusing on these hotspots,</w:t>
      </w:r>
      <w:r>
        <w:t xml:space="preserve"> </w:t>
      </w:r>
      <w:r>
        <w:rPr>
          <w:bCs/>
          <w:b/>
        </w:rPr>
        <w:t xml:space="preserve">pgwzkisivi</w:t>
      </w:r>
      <w:r>
        <w:t xml:space="preserve"> </w:t>
      </w:r>
      <w:r>
        <w:t xml:space="preserve">can significantly reduce the environmental impact of</w:t>
      </w:r>
      <w:r>
        <w:t xml:space="preserve"> </w:t>
      </w:r>
      <w:r>
        <w:rPr>
          <w:bCs/>
          <w:b/>
        </w:rPr>
        <w:t xml:space="preserve">qefdtznytg</w:t>
      </w:r>
      <w:r>
        <w:t xml:space="preserve"> </w:t>
      </w:r>
      <w:r>
        <w:t xml:space="preserve">and demonstrate strong commitment to sustainability under the guidance of</w:t>
      </w:r>
      <w:r>
        <w:t xml:space="preserve"> </w:t>
      </w:r>
      <w:r>
        <w:rPr>
          <w:bCs/>
          <w:b/>
        </w:rPr>
        <w:t xml:space="preserve">iydyidqkdw</w:t>
      </w:r>
      <w:r>
        <w:t xml:space="preserve">.</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qefdtznytg</dc:title>
  <dc:creator/>
  <dc:description>Detailed Product Carbon Footprint (PCF) analysis report for product qefdtznytg, performed by iydyidqkdw, Senior Sustainability Consultant at pgwzkisivi, adhering to GHG Protocol standards and 2026 LSR Update.</dc:description>
  <dc:language>en</dc:language>
  <cp:keywords/>
  <dcterms:created xsi:type="dcterms:W3CDTF">2026-07-15T09:14:10Z</dcterms:created>
  <dcterms:modified xsi:type="dcterms:W3CDTF">2026-07-15T09:14:10Z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