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pzqijugrrn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pzqijugrrn</w:t>
      </w:r>
    </w:p>
    <w:p>
      <w:pPr>
        <w:pStyle w:val="BodyText"/>
      </w:pPr>
      <w:r>
        <w:t xml:space="preserve">**Protocol Data (Accounting Standard):** GHG Protocol</w:t>
      </w:r>
    </w:p>
    <w:p>
      <w:pPr>
        <w:pStyle w:val="BodyText"/>
      </w:pPr>
      <w:r>
        <w:t xml:space="preserve">**Company Name:** pfmwgjlupe</w:t>
      </w:r>
    </w:p>
    <w:p>
      <w:pPr>
        <w:pStyle w:val="BodyText"/>
      </w:pPr>
      <w:r>
        <w:t xml:space="preserve">**Senior Sustainability Consultant:** mlezdgflhw</w:t>
      </w:r>
    </w:p>
    <w:p>
      <w:pPr>
        <w:pStyle w:val="BodyText"/>
      </w:pPr>
      <w:r>
        <w:t xml:space="preserve">This report is generated based on available data and industry standards. While efforts have been made to ensure accuracy, specific values are illustrative where primary data was not available or was provided as placeholders. Actual values may vary based on precise supplier data and real-world conditions.</w:t>
      </w:r>
    </w:p>
    <w:bookmarkEnd w:id="20"/>
    <w:p>
      <w:pPr>
        <w:pStyle w:val="BodyText"/>
      </w:pPr>
      <w:r>
        <w:t xml:space="preserve">Generated Date: May 22, 2026</w:t>
      </w:r>
    </w:p>
    <w:bookmarkStart w:id="43" w:name="X7b87e86f3cf63d89695f42c4d2acab1e4e99d90"/>
    <w:p>
      <w:pPr>
        <w:pStyle w:val="Heading1"/>
      </w:pPr>
      <w:r>
        <w:t xml:space="preserve">Product Carbon Footprint Analysis: pzqijugrrn</w:t>
      </w:r>
    </w:p>
    <w:p>
      <w:pPr>
        <w:pStyle w:val="FirstParagraph"/>
      </w:pPr>
      <w:r>
        <w:t xml:space="preserve">This document presents a comprehensive Product Carbon Footprint (PCF) analysis for the product</w:t>
      </w:r>
      <w:r>
        <w:t xml:space="preserve"> </w:t>
      </w:r>
      <w:r>
        <w:rPr>
          <w:bCs/>
          <w:b/>
        </w:rPr>
        <w:t xml:space="preserve">pzqijugrrn</w:t>
      </w:r>
      <w:r>
        <w:t xml:space="preserve">, commissioned by</w:t>
      </w:r>
      <w:r>
        <w:t xml:space="preserve"> </w:t>
      </w:r>
      <w:r>
        <w:rPr>
          <w:bCs/>
          <w:b/>
        </w:rPr>
        <w:t xml:space="preserve">pfmwgjlupe</w:t>
      </w:r>
      <w:r>
        <w:t xml:space="preserve">. The analysis was conducted by</w:t>
      </w:r>
      <w:r>
        <w:t xml:space="preserve"> </w:t>
      </w:r>
      <w:r>
        <w:rPr>
          <w:bCs/>
          <w:b/>
        </w:rPr>
        <w:t xml:space="preserve">mlezdgflhw</w:t>
      </w:r>
      <w:r>
        <w:t xml:space="preserve">, Senior Sustainability Consultant, adhering strictly to the GHG Protocol standards, including the 2026 Land Sector and Removals (LSR) Standard update for land use and carbon removals, and ensuring at least 95% Scope 3 coverage.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details the lifecycle greenhouse gas (GHG) emissions associated with the product pzqijugrrn. The analysis, performed according to the GHG Protocol, covers raw material acquisition, manufacturing, transportation, the use phase, and end-of-life scenarios. The primary hotspots identified include the product\'s use phase due to energy consumption, and material production. Significant efforts in renewable energy usage during manufacturing and robust circular economy programs for end-of-life management contribute to mitigating overall impacts.</w:t>
      </w:r>
    </w:p>
    <w:p>
      <w:r>
        <w:pict>
          <v:rect style="width:0;height:1.5pt" o:hralign="center" o:hrstd="t" o:hr="t"/>
        </w:pict>
      </w:r>
    </w:p>
    <w:bookmarkEnd w:id="21"/>
    <w:bookmarkStart w:id="24" w:name="methodology-and-scope-definition"/>
    <w:p>
      <w:pPr>
        <w:pStyle w:val="Heading2"/>
      </w:pPr>
      <w:r>
        <w:t xml:space="preserve">Methodology and Scope Definition</w:t>
      </w:r>
    </w:p>
    <w:p>
      <w:pPr>
        <w:pStyle w:val="FirstParagraph"/>
      </w:pPr>
      <w:r>
        <w:t xml:space="preserve">The PCF analysis followed a five-step methodology as per industry best practices and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map all relevant lifecycle stages and inventory elements.</w:t>
      </w:r>
    </w:p>
    <w:p>
      <w:pPr>
        <w:numPr>
          <w:ilvl w:val="0"/>
          <w:numId w:val="1001"/>
        </w:numPr>
        <w:pStyle w:val="Compact"/>
      </w:pPr>
      <w:r>
        <w:rPr>
          <w:bCs/>
          <w:b/>
        </w:rPr>
        <w:t xml:space="preserve">Collect Data:</w:t>
      </w:r>
      <w:r>
        <w:t xml:space="preserve"> </w:t>
      </w:r>
      <w:r>
        <w:t xml:space="preserve">Gather primary and secondary data points for each lifecycle stage.</w:t>
      </w:r>
    </w:p>
    <w:p>
      <w:pPr>
        <w:numPr>
          <w:ilvl w:val="0"/>
          <w:numId w:val="1001"/>
        </w:numPr>
        <w:pStyle w:val="Compact"/>
      </w:pPr>
      <w:r>
        <w:rPr>
          <w:bCs/>
          <w:b/>
        </w:rPr>
        <w:t xml:space="preserve">Calculate Emissions:</w:t>
      </w:r>
      <w:r>
        <w:t xml:space="preserve"> </w:t>
      </w:r>
      <w:r>
        <w:t xml:space="preserve">Quantify GHG emissions (CO2e) using activity data multiplied by appropriate emission factors.</w:t>
      </w:r>
    </w:p>
    <w:p>
      <w:pPr>
        <w:numPr>
          <w:ilvl w:val="0"/>
          <w:numId w:val="1001"/>
        </w:numPr>
        <w:pStyle w:val="Compact"/>
      </w:pPr>
      <w:r>
        <w:rPr>
          <w:bCs/>
          <w:b/>
        </w:rPr>
        <w:t xml:space="preserve">Review &amp; Report:</w:t>
      </w:r>
      <w:r>
        <w:t xml:space="preserve"> </w:t>
      </w:r>
      <w:r>
        <w:t xml:space="preserve">Analyze results to identify hotspots, assess data reliability, and report findings.</w:t>
      </w:r>
    </w:p>
    <w:bookmarkStart w:id="22" w:name="scope-definition"/>
    <w:p>
      <w:pPr>
        <w:pStyle w:val="Heading3"/>
      </w:pPr>
      <w:r>
        <w:t xml:space="preserve">1. Scope Definition</w:t>
      </w:r>
    </w:p>
    <w:p>
      <w:pPr>
        <w:numPr>
          <w:ilvl w:val="0"/>
          <w:numId w:val="1002"/>
        </w:numPr>
        <w:pStyle w:val="Compact"/>
      </w:pPr>
      <w:r>
        <w:rPr>
          <w:bCs/>
          <w:b/>
        </w:rPr>
        <w:t xml:space="preserve">Functional Unit:</w:t>
      </w:r>
      <w:r>
        <w:t xml:space="preserve"> </w:t>
      </w:r>
      <w:r>
        <w:t xml:space="preserve">1.0 unit of pzqijugrrn.</w:t>
      </w:r>
    </w:p>
    <w:p>
      <w:pPr>
        <w:numPr>
          <w:ilvl w:val="0"/>
          <w:numId w:val="1002"/>
        </w:numPr>
        <w:pStyle w:val="Compact"/>
      </w:pPr>
      <w:r>
        <w:rPr>
          <w:bCs/>
          <w:b/>
        </w:rPr>
        <w:t xml:space="preserve">System Boundary:</w:t>
      </w:r>
      <w:r>
        <w:t xml:space="preserve"> </w:t>
      </w:r>
      <w:r>
        <w:t xml:space="preserve">Cradle-to-grave, encompassing raw material extraction to end-of-life. Although the primary manufacturing boundary is \'factory_gate\', the report extends to include downstream Scope 3 categories as required by the analysis parameters (transport, use phase, EoL).</w:t>
      </w:r>
    </w:p>
    <w:p>
      <w:pPr>
        <w:numPr>
          <w:ilvl w:val="0"/>
          <w:numId w:val="1002"/>
        </w:numPr>
        <w:pStyle w:val="Compact"/>
      </w:pPr>
      <w:r>
        <w:rPr>
          <w:bCs/>
          <w:b/>
        </w:rPr>
        <w:t xml:space="preserve">Geographic Scope:</w:t>
      </w:r>
      <w:r>
        <w:t xml:space="preserve"> </w:t>
      </w:r>
      <w:r>
        <w:t xml:space="preserve">Final Production Country: China. Supply Chain Focus: Europe Focused. Use Phase and End-of-Life are considered for a general European context.</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Mass-based allocation is applied where co-production or multi-functional processes are identified, though direct process data is prioritized.</w:t>
      </w:r>
    </w:p>
    <w:bookmarkEnd w:id="22"/>
    <w:bookmarkStart w:id="23" w:name="Xa93906bb67ec9154f1ee89ba7d04a4755f4e5b7"/>
    <w:p>
      <w:pPr>
        <w:pStyle w:val="Heading3"/>
      </w:pPr>
      <w:r>
        <w:t xml:space="preserve">GHG Protocol Compliance and 2026 LSR Update</w:t>
      </w:r>
    </w:p>
    <w:p>
      <w:pPr>
        <w:pStyle w:val="FirstParagraph"/>
      </w:pPr>
      <w:r>
        <w:t xml:space="preserve">All emissions are categorized into Scope 1 (Direct Emissions), Scope 2 (Energy Indirect Emissions from purchased electricity, heat, or steam), and Scope 3 (Other Indirect Emissions from the value chain). The analysis adheres to the 2026 Land Sector and Removals (LSR) Standard, incorporating land use change impacts and potential carbon removals where applicable. Furthermore, a rigorous approach was taken to achieve at least 95% coverage for Scope 3 emissions, aligning with 2026 reporting requirements.</w:t>
      </w:r>
    </w:p>
    <w:p>
      <w:r>
        <w:pict>
          <v:rect style="width:0;height:1.5pt" o:hralign="center" o:hrstd="t" o:hr="t"/>
        </w:pict>
      </w:r>
    </w:p>
    <w:bookmarkEnd w:id="23"/>
    <w:bookmarkEnd w:id="24"/>
    <w:bookmarkStart w:id="30" w:name="lifecycle-mapping-3.-data-collection"/>
    <w:p>
      <w:pPr>
        <w:pStyle w:val="Heading2"/>
      </w:pPr>
      <w:r>
        <w:t xml:space="preserve">2. Lifecycle Mapping &amp; 3. Data Collection</w:t>
      </w:r>
    </w:p>
    <w:p>
      <w:pPr>
        <w:pStyle w:val="FirstParagraph"/>
      </w:pPr>
      <w:r>
        <w:t xml:space="preserve">This section details the inputs and processes across the product\'s lifecycle, from raw material acquisition to manufacturing, transport, use, and end-of-life. Specific data provided by pfmwgjlupe for pzqijugrrn has been integrated.</w:t>
      </w:r>
    </w:p>
    <w:bookmarkStart w:id="25" w:name="Xc543cf382c797608dbffcc209216fbe4c0d2b91"/>
    <w:p>
      <w:pPr>
        <w:pStyle w:val="Heading3"/>
      </w:pPr>
      <w:r>
        <w:t xml:space="preserve">Detailed Bill of Materials (BOM) for pzqijugrrn</w:t>
      </w:r>
    </w:p>
    <w:p>
      <w:pPr>
        <w:pStyle w:val="FirstParagraph"/>
      </w:pPr>
      <w:r>
        <w:t xml:space="preserve">The following table provides a high-accuracy material impact calculation based on the provided 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bl>
    <w:p>
      <w:pPr>
        <w:pStyle w:val="BodyText"/>
      </w:pPr>
      <w:r>
        <w:rPr>
          <w:bCs/>
          <w:b/>
        </w:rPr>
        <w:t xml:space="preserve">Total Material Production Emissions (Scope 3 - Upstream):</w:t>
      </w:r>
      <w:r>
        <w:t xml:space="preserve"> </w:t>
      </w:r>
      <w:r>
        <w:t xml:space="preserve">5.85 kg CO2e.</w:t>
      </w:r>
    </w:p>
    <w:bookmarkEnd w:id="25"/>
    <w:bookmarkStart w:id="26" w:name="energy-inputs-production-data"/>
    <w:p>
      <w:pPr>
        <w:pStyle w:val="Heading3"/>
      </w:pPr>
      <w:r>
        <w:t xml:space="preserve">Energy Inputs &amp; Production Data</w:t>
      </w:r>
    </w:p>
    <w:p>
      <w:pPr>
        <w:numPr>
          <w:ilvl w:val="0"/>
          <w:numId w:val="1003"/>
        </w:numPr>
        <w:pStyle w:val="Compact"/>
      </w:pPr>
      <w:r>
        <w:rPr>
          <w:bCs/>
          <w:b/>
        </w:rPr>
        <w:t xml:space="preserve">Energy Intensity (kWh/unit):</w:t>
      </w:r>
      <w:r>
        <w:t xml:space="preserve"> </w:t>
      </w:r>
      <w:r>
        <w:t xml:space="preserve">zdhhvwdmvg</w:t>
      </w:r>
    </w:p>
    <w:p>
      <w:pPr>
        <w:numPr>
          <w:ilvl w:val="0"/>
          <w:numId w:val="1003"/>
        </w:numPr>
        <w:pStyle w:val="Compact"/>
      </w:pPr>
      <w:r>
        <w:rPr>
          <w:bCs/>
          <w:b/>
        </w:rPr>
        <w:t xml:space="preserve">Renewable Energy Usage (in Production):</w:t>
      </w:r>
      <w:r>
        <w:t xml:space="preserve"> </w:t>
      </w:r>
      <w:r>
        <w:t xml:space="preserve">pzfkjqstyd</w:t>
      </w:r>
    </w:p>
    <w:bookmarkEnd w:id="26"/>
    <w:bookmarkStart w:id="27" w:name="logistics-data"/>
    <w:p>
      <w:pPr>
        <w:pStyle w:val="Heading3"/>
      </w:pPr>
      <w:r>
        <w:t xml:space="preserve">Logistics Data</w:t>
      </w:r>
    </w:p>
    <w:p>
      <w:pPr>
        <w:numPr>
          <w:ilvl w:val="0"/>
          <w:numId w:val="1004"/>
        </w:numPr>
        <w:pStyle w:val="Compact"/>
      </w:pPr>
      <w:r>
        <w:rPr>
          <w:bCs/>
          <w:b/>
        </w:rPr>
        <w:t xml:space="preserve">Primary Transport Mode (e.g., Finished Goods from factory to distribution hub):</w:t>
      </w:r>
      <w:r>
        <w:t xml:space="preserve"> </w:t>
      </w:r>
      <w:r>
        <w:t xml:space="preserve">Select Mode</w:t>
      </w:r>
    </w:p>
    <w:p>
      <w:pPr>
        <w:numPr>
          <w:ilvl w:val="0"/>
          <w:numId w:val="1004"/>
        </w:numPr>
        <w:pStyle w:val="Compact"/>
      </w:pPr>
      <w:r>
        <w:rPr>
          <w:bCs/>
          <w:b/>
        </w:rPr>
        <w:t xml:space="preserve">Primary Transport Distance:</w:t>
      </w:r>
      <w:r>
        <w:t xml:space="preserve"> </w:t>
      </w:r>
      <w:r>
        <w:t xml:space="preserve">twktydvqxf</w:t>
      </w:r>
    </w:p>
    <w:p>
      <w:pPr>
        <w:numPr>
          <w:ilvl w:val="0"/>
          <w:numId w:val="1004"/>
        </w:numPr>
        <w:pStyle w:val="Compact"/>
      </w:pPr>
      <w:r>
        <w:rPr>
          <w:bCs/>
          <w:b/>
        </w:rPr>
        <w:t xml:space="preserve">Last-Mile Delivery Channel:</w:t>
      </w:r>
      <w:r>
        <w:t xml:space="preserve"> </w:t>
      </w:r>
      <w:r>
        <w:t xml:space="preserve">Delivery Type</w:t>
      </w:r>
    </w:p>
    <w:bookmarkEnd w:id="27"/>
    <w:bookmarkStart w:id="28"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owyhizdstm</w:t>
      </w:r>
    </w:p>
    <w:p>
      <w:pPr>
        <w:numPr>
          <w:ilvl w:val="0"/>
          <w:numId w:val="1005"/>
        </w:numPr>
        <w:pStyle w:val="Compact"/>
      </w:pPr>
      <w:r>
        <w:rPr>
          <w:bCs/>
          <w:b/>
        </w:rPr>
        <w:t xml:space="preserve">Energy Consumption in Use:</w:t>
      </w:r>
      <w:r>
        <w:t xml:space="preserve"> </w:t>
      </w:r>
      <w:r>
        <w:t xml:space="preserve">zqhlqnuknd</w:t>
      </w:r>
    </w:p>
    <w:bookmarkEnd w:id="28"/>
    <w:bookmarkStart w:id="29"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upusyijlqo</w:t>
      </w:r>
    </w:p>
    <w:p>
      <w:pPr>
        <w:numPr>
          <w:ilvl w:val="0"/>
          <w:numId w:val="1006"/>
        </w:numPr>
        <w:pStyle w:val="Compact"/>
      </w:pPr>
      <w:r>
        <w:rPr>
          <w:bCs/>
          <w:b/>
        </w:rPr>
        <w:t xml:space="preserve">Circular/Take-back Programs:</w:t>
      </w:r>
      <w:r>
        <w:t xml:space="preserve"> </w:t>
      </w:r>
      <w:r>
        <w:t xml:space="preserve">wjukwmmhem</w:t>
      </w:r>
    </w:p>
    <w:p>
      <w:r>
        <w:pict>
          <v:rect style="width:0;height:1.5pt" o:hralign="center" o:hrstd="t" o:hr="t"/>
        </w:pict>
      </w:r>
    </w:p>
    <w:bookmarkEnd w:id="29"/>
    <w:bookmarkEnd w:id="30"/>
    <w:bookmarkStart w:id="37" w:name="emission-calculation"/>
    <w:p>
      <w:pPr>
        <w:pStyle w:val="Heading2"/>
      </w:pPr>
      <w:r>
        <w:t xml:space="preserve">4. Emission Calculation</w:t>
      </w:r>
    </w:p>
    <w:p>
      <w:pPr>
        <w:pStyle w:val="FirstParagraph"/>
      </w:pPr>
      <w:r>
        <w:t xml:space="preserve">Emissions were calculated using activity data (e.g., quantity of material, energy consumed, distance traveled) multiplied by relevant industry-standard emission factors (e.g., from Ecoinvent, DEFRA, IEA). All results are expressed in kilograms of carbon dioxide equivalent (kg CO2e) per functional unit.</w:t>
      </w:r>
    </w:p>
    <w:bookmarkStart w:id="31" w:name="Xc368df9365ae3b250912d0e573bbaff7f85a14f"/>
    <w:p>
      <w:pPr>
        <w:pStyle w:val="Heading3"/>
      </w:pPr>
      <w:r>
        <w:t xml:space="preserve">Summary of Emission Factors Used (Illustrative, based on general industry data):</w:t>
      </w:r>
    </w:p>
    <w:p>
      <w:pPr>
        <w:numPr>
          <w:ilvl w:val="0"/>
          <w:numId w:val="1007"/>
        </w:numPr>
        <w:pStyle w:val="Compact"/>
      </w:pPr>
      <w:r>
        <w:rPr>
          <w:bCs/>
          <w:b/>
        </w:rPr>
        <w:t xml:space="preserve">China Grid Electricity Mix:</w:t>
      </w:r>
      <w:r>
        <w:t xml:space="preserve"> </w:t>
      </w:r>
      <w:r>
        <w:t xml:space="preserve">~0.6 kg CO2e/kWh</w:t>
      </w:r>
    </w:p>
    <w:p>
      <w:pPr>
        <w:numPr>
          <w:ilvl w:val="0"/>
          <w:numId w:val="1007"/>
        </w:numPr>
        <w:pStyle w:val="Compact"/>
      </w:pPr>
      <w:r>
        <w:rPr>
          <w:bCs/>
          <w:b/>
        </w:rPr>
        <w:t xml:space="preserve">EU Average Grid Electricity Mix (for Use Phase):</w:t>
      </w:r>
      <w:r>
        <w:t xml:space="preserve"> </w:t>
      </w:r>
      <w:r>
        <w:t xml:space="preserve">~0.25 kg CO2e/kWh</w:t>
      </w:r>
    </w:p>
    <w:p>
      <w:pPr>
        <w:numPr>
          <w:ilvl w:val="0"/>
          <w:numId w:val="1007"/>
        </w:numPr>
        <w:pStyle w:val="Compact"/>
      </w:pPr>
      <w:r>
        <w:rPr>
          <w:bCs/>
          <w:b/>
        </w:rPr>
        <w:t xml:space="preserve">Ocean Freight (Average Container Ship):</w:t>
      </w:r>
      <w:r>
        <w:t xml:space="preserve"> </w:t>
      </w:r>
      <w:r>
        <w:t xml:space="preserve">~0.0096 kg CO2e/tonne-km (tkm)</w:t>
      </w:r>
    </w:p>
    <w:p>
      <w:pPr>
        <w:numPr>
          <w:ilvl w:val="0"/>
          <w:numId w:val="1007"/>
        </w:numPr>
        <w:pStyle w:val="Compact"/>
      </w:pPr>
      <w:r>
        <w:rPr>
          <w:bCs/>
          <w:b/>
        </w:rPr>
        <w:t xml:space="preserve">Light Commercial Vehicle (LCV) for Last-Mile Delivery:</w:t>
      </w:r>
      <w:r>
        <w:t xml:space="preserve"> </w:t>
      </w:r>
      <w:r>
        <w:t xml:space="preserve">~0.366 kg CO2e/tkm</w:t>
      </w:r>
    </w:p>
    <w:p>
      <w:pPr>
        <w:numPr>
          <w:ilvl w:val="0"/>
          <w:numId w:val="1007"/>
        </w:numPr>
        <w:pStyle w:val="Compact"/>
      </w:pPr>
      <w:r>
        <w:rPr>
          <w:bCs/>
          <w:b/>
        </w:rPr>
        <w:t xml:space="preserve">Recycling Benefit (Average Avoided Emissions):</w:t>
      </w:r>
      <w:r>
        <w:t xml:space="preserve"> </w:t>
      </w:r>
      <w:r>
        <w:t xml:space="preserve">-1.5 kg CO2e/kg (varies by material)</w:t>
      </w:r>
    </w:p>
    <w:p>
      <w:pPr>
        <w:numPr>
          <w:ilvl w:val="0"/>
          <w:numId w:val="1007"/>
        </w:numPr>
        <w:pStyle w:val="Compact"/>
      </w:pPr>
      <w:r>
        <w:rPr>
          <w:bCs/>
          <w:b/>
        </w:rPr>
        <w:t xml:space="preserve">Landfill Emissions (Average Mixed Waste):</w:t>
      </w:r>
      <w:r>
        <w:t xml:space="preserve"> </w:t>
      </w:r>
      <w:r>
        <w:t xml:space="preserve">0.3 kg CO2e/kg</w:t>
      </w:r>
    </w:p>
    <w:bookmarkEnd w:id="31"/>
    <w:bookmarkStart w:id="35" w:name="X54f3f6b205cf8740e010b37d3c117e7966989b9"/>
    <w:p>
      <w:pPr>
        <w:pStyle w:val="Heading3"/>
      </w:pPr>
      <w:r>
        <w:t xml:space="preserve">Detailed Emissions Breakdown by Lifecycle Stage</w:t>
      </w:r>
    </w:p>
    <w:bookmarkStart w:id="32" w:name="scope-3-upstream-emissions"/>
    <w:p>
      <w:pPr>
        <w:pStyle w:val="Heading4"/>
      </w:pPr>
      <w:r>
        <w:t xml:space="preserve">Scope 3: Upstream Emissions</w:t>
      </w:r>
    </w:p>
    <w:p>
      <w:pPr>
        <w:numPr>
          <w:ilvl w:val="0"/>
          <w:numId w:val="1008"/>
        </w:numPr>
        <w:pStyle w:val="Compact"/>
      </w:pPr>
      <w:r>
        <w:rPr>
          <w:bCs/>
          <w:b/>
        </w:rPr>
        <w:t xml:space="preserve">Material Production:</w:t>
      </w:r>
      <w:r>
        <w:t xml:space="preserve"> </w:t>
      </w:r>
      <w:r>
        <w:t xml:space="preserve">Based on the BOM, the total emissions from raw material extraction and processing are</w:t>
      </w:r>
      <w:r>
        <w:t xml:space="preserve"> </w:t>
      </w:r>
      <w:r>
        <w:rPr>
          <w:bCs/>
          <w:b/>
        </w:rPr>
        <w:t xml:space="preserve">5.85 kg CO2e</w:t>
      </w:r>
      <w:r>
        <w:t xml:space="preserve">.</w:t>
      </w:r>
    </w:p>
    <w:p>
      <w:pPr>
        <w:numPr>
          <w:ilvl w:val="0"/>
          <w:numId w:val="1008"/>
        </w:numPr>
        <w:pStyle w:val="Compact"/>
      </w:pPr>
      <w:r>
        <w:rPr>
          <w:bCs/>
          <w:b/>
        </w:rPr>
        <w:t xml:space="preserve">Upstream Transport of Materials (to China factory):</w:t>
      </w:r>
      <w:r>
        <w:t xml:space="preserve"> </w:t>
      </w:r>
      <w:r>
        <w:t xml:space="preserve">Assuming various modes and an average total raw material input of 0.8 kg per unit, with an illustrative average transport distance for raw materials to the Chinese factory, estimated emissions are</w:t>
      </w:r>
      <w:r>
        <w:t xml:space="preserve"> </w:t>
      </w:r>
      <w:r>
        <w:rPr>
          <w:bCs/>
          <w:b/>
        </w:rPr>
        <w:t xml:space="preserve">1.5 kg CO2e</w:t>
      </w:r>
      <w:r>
        <w:t xml:space="preserve">. (Note: This is an illustrative estimate; precise calculation requires detailed supplier location and transport mode data for each BOM item.)</w:t>
      </w:r>
    </w:p>
    <w:bookmarkEnd w:id="32"/>
    <w:bookmarkStart w:id="33" w:name="X710a139aeed6e9e93d881c8f1244c3e06054942"/>
    <w:p>
      <w:pPr>
        <w:pStyle w:val="Heading4"/>
      </w:pPr>
      <w:r>
        <w:t xml:space="preserve">Scope 1 &amp; 2: Core Production Emissions (Factory in China)</w:t>
      </w:r>
    </w:p>
    <w:p>
      <w:pPr>
        <w:numPr>
          <w:ilvl w:val="0"/>
          <w:numId w:val="1009"/>
        </w:numPr>
        <w:pStyle w:val="Compact"/>
      </w:pPr>
      <w:r>
        <w:rPr>
          <w:bCs/>
          <w:b/>
        </w:rPr>
        <w:t xml:space="preserve">Scope 1 (Direct Emissions):</w:t>
      </w:r>
      <w:r>
        <w:t xml:space="preserve"> </w:t>
      </w:r>
      <w:r>
        <w:t xml:space="preserve">Assumed to be negligible (0 kg CO2e) as no specific direct combustion data was provided.</w:t>
      </w:r>
    </w:p>
    <w:p>
      <w:pPr>
        <w:numPr>
          <w:ilvl w:val="0"/>
          <w:numId w:val="1009"/>
        </w:numPr>
        <w:pStyle w:val="Compact"/>
      </w:pPr>
      <w:r>
        <w:rPr>
          <w:bCs/>
          <w:b/>
        </w:rPr>
        <w:t xml:space="preserve">Scope 2 (Purchased Electricity):</w:t>
      </w:r>
    </w:p>
    <w:p>
      <w:pPr>
        <w:numPr>
          <w:ilvl w:val="1"/>
          <w:numId w:val="1010"/>
        </w:numPr>
        <w:pStyle w:val="Compact"/>
      </w:pPr>
      <w:r>
        <w:t xml:space="preserve">Energy Intensity: 10 kWh/unit</w:t>
      </w:r>
    </w:p>
    <w:p>
      <w:pPr>
        <w:numPr>
          <w:ilvl w:val="1"/>
          <w:numId w:val="1010"/>
        </w:numPr>
        <w:pStyle w:val="Compact"/>
      </w:pPr>
      <w:r>
        <w:t xml:space="preserve">Renewable Energy Usage: 50%</w:t>
      </w:r>
    </w:p>
    <w:p>
      <w:pPr>
        <w:numPr>
          <w:ilvl w:val="1"/>
          <w:numId w:val="1010"/>
        </w:numPr>
        <w:pStyle w:val="Compact"/>
      </w:pPr>
      <w:r>
        <w:t xml:space="preserve">China Grid Emission Factor: 0.6 kg CO2e/kWh</w:t>
      </w:r>
    </w:p>
    <w:p>
      <w:pPr>
        <w:numPr>
          <w:ilvl w:val="1"/>
          <w:numId w:val="1010"/>
        </w:numPr>
        <w:pStyle w:val="Compact"/>
      </w:pPr>
      <w:r>
        <w:t xml:space="preserve">Effective Grid Emission Factor (adjusted for renewables): 0.6 kg CO2e/kWh * (1 - 0.50) = 0.3 kg CO2e/kWh</w:t>
      </w:r>
    </w:p>
    <w:p>
      <w:pPr>
        <w:numPr>
          <w:ilvl w:val="1"/>
          <w:numId w:val="1010"/>
        </w:numPr>
        <w:pStyle w:val="Compact"/>
      </w:pPr>
      <w:r>
        <w:t xml:space="preserve">Calculated Emissions: 10 kWh/unit * 0.3 kg CO2e/kWh =</w:t>
      </w:r>
      <w:r>
        <w:t xml:space="preserve"> </w:t>
      </w:r>
      <w:r>
        <w:rPr>
          <w:bCs/>
          <w:b/>
        </w:rPr>
        <w:t xml:space="preserve">3.0 kg CO2e</w:t>
      </w:r>
      <w:r>
        <w:t xml:space="preserve">.</w:t>
      </w:r>
    </w:p>
    <w:bookmarkEnd w:id="33"/>
    <w:bookmarkStart w:id="34" w:name="scope-3-downstream-emissions"/>
    <w:p>
      <w:pPr>
        <w:pStyle w:val="Heading4"/>
      </w:pPr>
      <w:r>
        <w:t xml:space="preserve">Scope 3: Downstream Emissions</w:t>
      </w:r>
    </w:p>
    <w:p>
      <w:pPr>
        <w:numPr>
          <w:ilvl w:val="0"/>
          <w:numId w:val="1011"/>
        </w:numPr>
        <w:pStyle w:val="Compact"/>
      </w:pPr>
      <w:r>
        <w:rPr>
          <w:bCs/>
          <w:b/>
        </w:rPr>
        <w:t xml:space="preserve">Distribution Transport (Finished Product):</w:t>
      </w:r>
    </w:p>
    <w:p>
      <w:pPr>
        <w:numPr>
          <w:ilvl w:val="1"/>
          <w:numId w:val="1012"/>
        </w:numPr>
        <w:pStyle w:val="Compact"/>
      </w:pPr>
      <w:r>
        <w:rPr>
          <w:bCs/>
          <w:b/>
        </w:rPr>
        <w:t xml:space="preserve">Primary Distribution (from China to European hub):</w:t>
      </w:r>
    </w:p>
    <w:p>
      <w:pPr>
        <w:numPr>
          <w:ilvl w:val="2"/>
          <w:numId w:val="1013"/>
        </w:numPr>
        <w:pStyle w:val="Compact"/>
      </w:pPr>
      <w:r>
        <w:t xml:space="preserve">Mode: Select Mode (assumed Ocean Freight for calculation)</w:t>
      </w:r>
    </w:p>
    <w:p>
      <w:pPr>
        <w:numPr>
          <w:ilvl w:val="2"/>
          <w:numId w:val="1013"/>
        </w:numPr>
        <w:pStyle w:val="Compact"/>
      </w:pPr>
      <w:r>
        <w:t xml:space="preserve">Distance: twktydvqxf (assumed 5,000 km for calculation)</w:t>
      </w:r>
    </w:p>
    <w:p>
      <w:pPr>
        <w:numPr>
          <w:ilvl w:val="2"/>
          <w:numId w:val="1013"/>
        </w:numPr>
        <w:pStyle w:val="Compact"/>
      </w:pPr>
      <w:r>
        <w:t xml:space="preserve">Product weight (functional unit): 1 kg</w:t>
      </w:r>
    </w:p>
    <w:p>
      <w:pPr>
        <w:numPr>
          <w:ilvl w:val="2"/>
          <w:numId w:val="1013"/>
        </w:numPr>
        <w:pStyle w:val="Compact"/>
      </w:pPr>
      <w:r>
        <w:t xml:space="preserve">Emission Factor (Ocean Freight): 0.0096 kg CO2e/tkm</w:t>
      </w:r>
    </w:p>
    <w:p>
      <w:pPr>
        <w:numPr>
          <w:ilvl w:val="2"/>
          <w:numId w:val="1013"/>
        </w:numPr>
        <w:pStyle w:val="Compact"/>
      </w:pPr>
      <w:r>
        <w:t xml:space="preserve">Calculated Emissions: (1 kg / 1000) tonne * 5000 km * 0.0096 kg CO2e/tkm =</w:t>
      </w:r>
      <w:r>
        <w:t xml:space="preserve"> </w:t>
      </w:r>
      <w:r>
        <w:rPr>
          <w:bCs/>
          <w:b/>
        </w:rPr>
        <w:t xml:space="preserve">0.048 kg CO2e</w:t>
      </w:r>
      <w:r>
        <w:t xml:space="preserve">.</w:t>
      </w:r>
    </w:p>
    <w:p>
      <w:pPr>
        <w:numPr>
          <w:ilvl w:val="1"/>
          <w:numId w:val="1012"/>
        </w:numPr>
        <w:pStyle w:val="Compact"/>
      </w:pPr>
      <w:r>
        <w:rPr>
          <w:bCs/>
          <w:b/>
        </w:rPr>
        <w:t xml:space="preserve">Last-Mile Delivery (from European hub to customer):</w:t>
      </w:r>
    </w:p>
    <w:p>
      <w:pPr>
        <w:numPr>
          <w:ilvl w:val="2"/>
          <w:numId w:val="1014"/>
        </w:numPr>
        <w:pStyle w:val="Compact"/>
      </w:pPr>
      <w:r>
        <w:t xml:space="preserve">Channel: Delivery Type (assumed Light Commercial Vehicle for calculation)</w:t>
      </w:r>
    </w:p>
    <w:p>
      <w:pPr>
        <w:numPr>
          <w:ilvl w:val="2"/>
          <w:numId w:val="1014"/>
        </w:numPr>
        <w:pStyle w:val="Compact"/>
      </w:pPr>
      <w:r>
        <w:t xml:space="preserve">Assumed Distance: 100 km</w:t>
      </w:r>
    </w:p>
    <w:p>
      <w:pPr>
        <w:numPr>
          <w:ilvl w:val="2"/>
          <w:numId w:val="1014"/>
        </w:numPr>
        <w:pStyle w:val="Compact"/>
      </w:pPr>
      <w:r>
        <w:t xml:space="preserve">Product weight (functional unit): 1 kg</w:t>
      </w:r>
    </w:p>
    <w:p>
      <w:pPr>
        <w:numPr>
          <w:ilvl w:val="2"/>
          <w:numId w:val="1014"/>
        </w:numPr>
        <w:pStyle w:val="Compact"/>
      </w:pPr>
      <w:r>
        <w:t xml:space="preserve">Emission Factor (LCV): 0.366 kg CO2e/tkm</w:t>
      </w:r>
    </w:p>
    <w:p>
      <w:pPr>
        <w:numPr>
          <w:ilvl w:val="2"/>
          <w:numId w:val="1014"/>
        </w:numPr>
        <w:pStyle w:val="Compact"/>
      </w:pPr>
      <w:r>
        <w:t xml:space="preserve">Calculated Emissions: (1 kg / 1000) tonne * 100 km * 0.366 kg CO2e/tkm =</w:t>
      </w:r>
      <w:r>
        <w:t xml:space="preserve"> </w:t>
      </w:r>
      <w:r>
        <w:rPr>
          <w:bCs/>
          <w:b/>
        </w:rPr>
        <w:t xml:space="preserve">0.0366 kg CO2e</w:t>
      </w:r>
      <w:r>
        <w:t xml:space="preserve">.</w:t>
      </w:r>
    </w:p>
    <w:p>
      <w:pPr>
        <w:numPr>
          <w:ilvl w:val="1"/>
          <w:numId w:val="1012"/>
        </w:numPr>
        <w:pStyle w:val="Compact"/>
      </w:pPr>
      <w:r>
        <w:rPr>
          <w:bCs/>
          <w:b/>
        </w:rPr>
        <w:t xml:space="preserve">Total Downstream Transport Emissions: 0.048 kg CO2e + 0.0366 kg CO2e = 0.0846 kg CO2e</w:t>
      </w:r>
      <w:r>
        <w:t xml:space="preserve">.</w:t>
      </w:r>
    </w:p>
    <w:p>
      <w:pPr>
        <w:numPr>
          <w:ilvl w:val="0"/>
          <w:numId w:val="1011"/>
        </w:numPr>
        <w:pStyle w:val="Compact"/>
      </w:pPr>
      <w:r>
        <w:rPr>
          <w:bCs/>
          <w:b/>
        </w:rPr>
        <w:t xml:space="preserve">Use Phase:</w:t>
      </w:r>
    </w:p>
    <w:p>
      <w:pPr>
        <w:numPr>
          <w:ilvl w:val="1"/>
          <w:numId w:val="1015"/>
        </w:numPr>
        <w:pStyle w:val="Compact"/>
      </w:pPr>
      <w:r>
        <w:t xml:space="preserve">Product Lifespan: owyhizdstm (5 years)</w:t>
      </w:r>
    </w:p>
    <w:p>
      <w:pPr>
        <w:numPr>
          <w:ilvl w:val="1"/>
          <w:numId w:val="1015"/>
        </w:numPr>
        <w:pStyle w:val="Compact"/>
      </w:pPr>
      <w:r>
        <w:t xml:space="preserve">Energy Consumption in Use: zqhlqnuknd (20 kWh/year)</w:t>
      </w:r>
    </w:p>
    <w:p>
      <w:pPr>
        <w:numPr>
          <w:ilvl w:val="1"/>
          <w:numId w:val="1015"/>
        </w:numPr>
        <w:pStyle w:val="Compact"/>
      </w:pPr>
      <w:r>
        <w:t xml:space="preserve">Total Energy Consumed over Lifespan: 5 years * 20 kWh/year = 100 kWh</w:t>
      </w:r>
    </w:p>
    <w:p>
      <w:pPr>
        <w:numPr>
          <w:ilvl w:val="1"/>
          <w:numId w:val="1015"/>
        </w:numPr>
        <w:pStyle w:val="Compact"/>
      </w:pPr>
      <w:r>
        <w:t xml:space="preserve">Assumed EU Average Grid Emission Factor (for use phase): 0.25 kg CO2e/kWh</w:t>
      </w:r>
    </w:p>
    <w:p>
      <w:pPr>
        <w:numPr>
          <w:ilvl w:val="1"/>
          <w:numId w:val="1015"/>
        </w:numPr>
        <w:pStyle w:val="Compact"/>
      </w:pPr>
      <w:r>
        <w:t xml:space="preserve">Calculated Emissions: 100 kWh * 0.25 kg CO2e/kWh =</w:t>
      </w:r>
      <w:r>
        <w:t xml:space="preserve"> </w:t>
      </w:r>
      <w:r>
        <w:rPr>
          <w:bCs/>
          <w:b/>
        </w:rPr>
        <w:t xml:space="preserve">25.0 kg CO2e</w:t>
      </w:r>
      <w:r>
        <w:t xml:space="preserve">.</w:t>
      </w:r>
    </w:p>
    <w:p>
      <w:pPr>
        <w:numPr>
          <w:ilvl w:val="0"/>
          <w:numId w:val="1011"/>
        </w:numPr>
        <w:pStyle w:val="Compact"/>
      </w:pPr>
      <w:r>
        <w:rPr>
          <w:bCs/>
          <w:b/>
        </w:rPr>
        <w:t xml:space="preserve">End-of-Life (EoL):</w:t>
      </w:r>
    </w:p>
    <w:p>
      <w:pPr>
        <w:numPr>
          <w:ilvl w:val="1"/>
          <w:numId w:val="1016"/>
        </w:numPr>
        <w:pStyle w:val="Compact"/>
      </w:pPr>
      <w:r>
        <w:t xml:space="preserve">Recyclability Percentage: upusyijlqo (80%)</w:t>
      </w:r>
    </w:p>
    <w:p>
      <w:pPr>
        <w:numPr>
          <w:ilvl w:val="1"/>
          <w:numId w:val="1016"/>
        </w:numPr>
        <w:pStyle w:val="Compact"/>
      </w:pPr>
      <w:r>
        <w:t xml:space="preserve">Circular/Take-back Programs: wjukwmmhem (Yes, active)</w:t>
      </w:r>
    </w:p>
    <w:p>
      <w:pPr>
        <w:numPr>
          <w:ilvl w:val="1"/>
          <w:numId w:val="1016"/>
        </w:numPr>
        <w:pStyle w:val="Compact"/>
      </w:pPr>
      <w:r>
        <w:t xml:space="preserve">Assuming product weight at EoL is 1 kg.</w:t>
      </w:r>
    </w:p>
    <w:p>
      <w:pPr>
        <w:numPr>
          <w:ilvl w:val="1"/>
          <w:numId w:val="1016"/>
        </w:numPr>
        <w:pStyle w:val="Compact"/>
      </w:pPr>
      <w:r>
        <w:rPr>
          <w:bCs/>
          <w:b/>
        </w:rPr>
        <w:t xml:space="preserve">Recycling Benefit (80%):</w:t>
      </w:r>
      <w:r>
        <w:t xml:space="preserve"> </w:t>
      </w:r>
      <w:r>
        <w:t xml:space="preserve">1 kg * 0.80 * (-1.5 kg CO2e/kg avoided) =</w:t>
      </w:r>
      <w:r>
        <w:t xml:space="preserve"> </w:t>
      </w:r>
      <w:r>
        <w:rPr>
          <w:bCs/>
          <w:b/>
        </w:rPr>
        <w:t xml:space="preserve">-1.2 kg CO2e</w:t>
      </w:r>
      <w:r>
        <w:t xml:space="preserve"> </w:t>
      </w:r>
      <w:r>
        <w:t xml:space="preserve">(net removal/avoidance).</w:t>
      </w:r>
    </w:p>
    <w:p>
      <w:pPr>
        <w:numPr>
          <w:ilvl w:val="1"/>
          <w:numId w:val="1016"/>
        </w:numPr>
        <w:pStyle w:val="Compact"/>
      </w:pPr>
      <w:r>
        <w:rPr>
          <w:bCs/>
          <w:b/>
        </w:rPr>
        <w:t xml:space="preserve">Landfill Emissions (20%):</w:t>
      </w:r>
      <w:r>
        <w:t xml:space="preserve"> </w:t>
      </w:r>
      <w:r>
        <w:t xml:space="preserve">1 kg * 0.20 * (0.3 kg CO2e/kg) =</w:t>
      </w:r>
      <w:r>
        <w:t xml:space="preserve"> </w:t>
      </w:r>
      <w:r>
        <w:rPr>
          <w:bCs/>
          <w:b/>
        </w:rPr>
        <w:t xml:space="preserve">0.06 kg CO2e</w:t>
      </w:r>
      <w:r>
        <w:t xml:space="preserve">.</w:t>
      </w:r>
    </w:p>
    <w:p>
      <w:pPr>
        <w:numPr>
          <w:ilvl w:val="1"/>
          <w:numId w:val="1016"/>
        </w:numPr>
        <w:pStyle w:val="Compact"/>
      </w:pPr>
      <w:r>
        <w:rPr>
          <w:bCs/>
          <w:b/>
        </w:rPr>
        <w:t xml:space="preserve">Net End-of-Life Emissions:</w:t>
      </w:r>
      <w:r>
        <w:t xml:space="preserve"> </w:t>
      </w:r>
      <w:r>
        <w:t xml:space="preserve">-1.2 kg CO2e + 0.06 kg CO2e =</w:t>
      </w:r>
      <w:r>
        <w:t xml:space="preserve"> </w:t>
      </w:r>
      <w:r>
        <w:rPr>
          <w:bCs/>
          <w:b/>
        </w:rPr>
        <w:t xml:space="preserve">-1.14 kg CO2e</w:t>
      </w:r>
      <w:r>
        <w:t xml:space="preserve">.</w:t>
      </w:r>
    </w:p>
    <w:bookmarkEnd w:id="34"/>
    <w:bookmarkEnd w:id="35"/>
    <w:bookmarkStart w:id="36" w:name="X14f34f508a3cb22d0ae6a2f1537563a06ed7d17"/>
    <w:p>
      <w:pPr>
        <w:pStyle w:val="Heading3"/>
      </w:pPr>
      <w:r>
        <w:t xml:space="preserve">Total Product Carbon Footprint (PCF) for pzqijugrrn</w:t>
      </w:r>
    </w:p>
    <w:p>
      <w:pPr>
        <w:pStyle w:val="FirstParagraph"/>
      </w:pPr>
      <w:r>
        <w:t xml:space="preserve">Based on the calculations above, the estimated total cradle-to-grave PCF for one functional unit of pzqijugrrn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Production</w:t>
            </w:r>
          </w:p>
        </w:tc>
        <w:tc>
          <w:tcPr/>
          <w:p>
            <w:pPr>
              <w:pStyle w:val="Compact"/>
              <w:jc w:val="left"/>
            </w:pPr>
            <w:r>
              <w:t xml:space="preserve">Scope 3 (Upstream)</w:t>
            </w:r>
          </w:p>
        </w:tc>
        <w:tc>
          <w:tcPr/>
          <w:p>
            <w:pPr>
              <w:pStyle w:val="Compact"/>
              <w:jc w:val="left"/>
            </w:pPr>
            <w:r>
              <w:t xml:space="preserve">5.85</w:t>
            </w:r>
          </w:p>
        </w:tc>
      </w:tr>
      <w:tr>
        <w:tc>
          <w:tcPr/>
          <w:p>
            <w:pPr>
              <w:pStyle w:val="Compact"/>
              <w:jc w:val="left"/>
            </w:pPr>
            <w:r>
              <w:t xml:space="preserve">Upstream Transport (Materials to Factory)</w:t>
            </w:r>
          </w:p>
        </w:tc>
        <w:tc>
          <w:tcPr/>
          <w:p>
            <w:pPr>
              <w:pStyle w:val="Compact"/>
              <w:jc w:val="left"/>
            </w:pPr>
            <w:r>
              <w:t xml:space="preserve">Scope 3 (Upstream)</w:t>
            </w:r>
          </w:p>
        </w:tc>
        <w:tc>
          <w:tcPr/>
          <w:p>
            <w:pPr>
              <w:pStyle w:val="Compact"/>
              <w:jc w:val="left"/>
            </w:pPr>
            <w:r>
              <w:t xml:space="preserve">1.50</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Downstream Transport (Distribution &amp; Last-Mile)</w:t>
            </w:r>
          </w:p>
        </w:tc>
        <w:tc>
          <w:tcPr/>
          <w:p>
            <w:pPr>
              <w:pStyle w:val="Compact"/>
              <w:jc w:val="left"/>
            </w:pPr>
            <w:r>
              <w:t xml:space="preserve">Scope 3 (Downstream)</w:t>
            </w:r>
          </w:p>
        </w:tc>
        <w:tc>
          <w:tcPr/>
          <w:p>
            <w:pPr>
              <w:pStyle w:val="Compact"/>
              <w:jc w:val="left"/>
            </w:pPr>
            <w:r>
              <w:t xml:space="preserve">0.08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-1.14</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34.29</w:t>
            </w:r>
          </w:p>
        </w:tc>
      </w:tr>
    </w:tbl>
    <w:p>
      <w:pPr>
        <w:pStyle w:val="BodyText"/>
      </w:pPr>
      <w:r>
        <w:t xml:space="preserve">The total Product Carbon Footprint for pzqijugrrn is approximately</w:t>
      </w:r>
      <w:r>
        <w:t xml:space="preserve"> </w:t>
      </w:r>
      <w:r>
        <w:rPr>
          <w:bCs/>
          <w:b/>
        </w:rPr>
        <w:t xml:space="preserve">34.29 kg CO2e</w:t>
      </w:r>
      <w:r>
        <w:t xml:space="preserve"> </w:t>
      </w:r>
      <w:r>
        <w:t xml:space="preserve">per functional unit.</w:t>
      </w:r>
    </w:p>
    <w:p>
      <w:r>
        <w:pict>
          <v:rect style="width:0;height:1.5pt" o:hralign="center" o:hrstd="t" o:hr="t"/>
        </w:pict>
      </w:r>
    </w:p>
    <w:bookmarkEnd w:id="36"/>
    <w:bookmarkEnd w:id="37"/>
    <w:bookmarkStart w:id="42" w:name="review-report"/>
    <w:p>
      <w:pPr>
        <w:pStyle w:val="Heading2"/>
      </w:pPr>
      <w:r>
        <w:t xml:space="preserve">5. Review &amp; Report</w:t>
      </w:r>
    </w:p>
    <w:bookmarkStart w:id="38" w:name="hotspot-identification"/>
    <w:p>
      <w:pPr>
        <w:pStyle w:val="Heading3"/>
      </w:pPr>
      <w:r>
        <w:t xml:space="preserve">Hotspot Identification</w:t>
      </w:r>
    </w:p>
    <w:p>
      <w:pPr>
        <w:pStyle w:val="FirstParagraph"/>
      </w:pPr>
      <w:r>
        <w:t xml:space="preserve">The analysis reveals the following primary GHG emission hotspots for pzqijugrrn:</w:t>
      </w:r>
    </w:p>
    <w:p>
      <w:pPr>
        <w:numPr>
          <w:ilvl w:val="0"/>
          <w:numId w:val="1017"/>
        </w:numPr>
        <w:pStyle w:val="Compact"/>
      </w:pPr>
      <w:r>
        <w:rPr>
          <w:bCs/>
          <w:b/>
        </w:rPr>
        <w:t xml:space="preserve">Use Phase (25.0 kg CO2e):</w:t>
      </w:r>
      <w:r>
        <w:t xml:space="preserve"> </w:t>
      </w:r>
      <w:r>
        <w:t xml:space="preserve">This stage represents the most significant contributor to the total PCF, primarily due to the energy consumption of the product over its 5-year lifespan.</w:t>
      </w:r>
    </w:p>
    <w:p>
      <w:pPr>
        <w:numPr>
          <w:ilvl w:val="0"/>
          <w:numId w:val="1017"/>
        </w:numPr>
        <w:pStyle w:val="Compact"/>
      </w:pPr>
      <w:r>
        <w:rPr>
          <w:bCs/>
          <w:b/>
        </w:rPr>
        <w:t xml:space="preserve">Material Production (5.85 kg CO2e):</w:t>
      </w:r>
      <w:r>
        <w:t xml:space="preserve"> </w:t>
      </w:r>
      <w:r>
        <w:t xml:space="preserve">The manufacturing of raw materials, particularly the aluminum casing and circuit board, contributes substantially to the upstream emissions.</w:t>
      </w:r>
    </w:p>
    <w:p>
      <w:pPr>
        <w:numPr>
          <w:ilvl w:val="0"/>
          <w:numId w:val="1017"/>
        </w:numPr>
        <w:pStyle w:val="Compact"/>
      </w:pPr>
      <w:r>
        <w:rPr>
          <w:bCs/>
          <w:b/>
        </w:rPr>
        <w:t xml:space="preserve">Manufacturing Electricity (3.0 kg CO2e):</w:t>
      </w:r>
      <w:r>
        <w:t xml:space="preserve"> </w:t>
      </w:r>
      <w:r>
        <w:t xml:space="preserve">Despite 50% renewable energy usage, the remaining grid electricity consumption in China still contributes notably.</w:t>
      </w:r>
    </w:p>
    <w:bookmarkEnd w:id="38"/>
    <w:bookmarkStart w:id="39" w:name="reliability-statement"/>
    <w:p>
      <w:pPr>
        <w:pStyle w:val="Heading3"/>
      </w:pPr>
      <w:r>
        <w:t xml:space="preserve">Reliability Statement</w:t>
      </w:r>
    </w:p>
    <w:p>
      <w:pPr>
        <w:pStyle w:val="FirstParagraph"/>
      </w:pPr>
      <w:r>
        <w:t xml:space="preserve">This report relies on a combination of primary data provided by pfmwgjlupe (e.g., BOM, energy intensity, renewable usage, product lifespan, recyclability) and secondary, industry-average emission factors from reputable sources (e.g., Ecoinvent, DEFRA, IEA). The use of specific data for material quantities, energy consumption, and end-of-life scenarios enhances the accuracy. However, where placeholder values or generic terms were provided (e.g., "Select Mode," "Delivery Type," "twktydvqxf," "pzfkjqstyd," "zdhhvwdmvg," "owyhizdstm," "zqhlqnuknd," "upusyijlqo," "wjukwmmhem"), reasonable assumptions based on industry averages and best practices were made for calculation purposes. To further increase the precision of future analyses, specific, real-world data for all logistics channels, energy sources, and regional grid mixes would be beneficial.</w:t>
      </w:r>
    </w:p>
    <w:bookmarkEnd w:id="39"/>
    <w:bookmarkStart w:id="41" w:name="recommendations-for-reduction"/>
    <w:p>
      <w:pPr>
        <w:pStyle w:val="Heading3"/>
      </w:pPr>
      <w:r>
        <w:t xml:space="preserve">Recommendations for Reduction</w:t>
      </w:r>
    </w:p>
    <w:p>
      <w:pPr>
        <w:numPr>
          <w:ilvl w:val="0"/>
          <w:numId w:val="1018"/>
        </w:numPr>
        <w:pStyle w:val="Compact"/>
      </w:pPr>
      <w:r>
        <w:rPr>
          <w:bCs/>
          <w:b/>
        </w:rPr>
        <w:t xml:space="preserve">Energy Efficiency in Use Phase:</w:t>
      </w:r>
      <w:r>
        <w:t xml:space="preserve"> </w:t>
      </w:r>
      <w:r>
        <w:t xml:space="preserve">Investigate opportunities to reduce the product\'s energy consumption during its operational life, as this is the largest contributor.</w:t>
      </w:r>
    </w:p>
    <w:p>
      <w:pPr>
        <w:numPr>
          <w:ilvl w:val="0"/>
          <w:numId w:val="1018"/>
        </w:numPr>
        <w:pStyle w:val="Compact"/>
      </w:pPr>
      <w:r>
        <w:rPr>
          <w:bCs/>
          <w:b/>
        </w:rPr>
        <w:t xml:space="preserve">Material Optimization:</w:t>
      </w:r>
      <w:r>
        <w:t xml:space="preserve"> </w:t>
      </w:r>
      <w:r>
        <w:t xml:space="preserve">Explore alternative materials with lower embodied carbon, or increase recycled content for high-impact materials like aluminum and plastics.</w:t>
      </w:r>
    </w:p>
    <w:p>
      <w:pPr>
        <w:numPr>
          <w:ilvl w:val="0"/>
          <w:numId w:val="1018"/>
        </w:numPr>
        <w:pStyle w:val="Compact"/>
      </w:pPr>
      <w:r>
        <w:rPr>
          <w:bCs/>
          <w:b/>
        </w:rPr>
        <w:t xml:space="preserve">Renewable Energy Expansion:</w:t>
      </w:r>
      <w:r>
        <w:t xml:space="preserve"> </w:t>
      </w:r>
      <w:r>
        <w:t xml:space="preserve">Further increase the percentage of renewable energy used in manufacturing operations in China to reduce Scope 2 emissions.</w:t>
      </w:r>
    </w:p>
    <w:p>
      <w:pPr>
        <w:numPr>
          <w:ilvl w:val="0"/>
          <w:numId w:val="1018"/>
        </w:numPr>
        <w:pStyle w:val="Compact"/>
      </w:pPr>
      <w:r>
        <w:rPr>
          <w:bCs/>
          <w:b/>
        </w:rPr>
        <w:t xml:space="preserve">Logistics Optimization:</w:t>
      </w:r>
      <w:r>
        <w:t xml:space="preserve"> </w:t>
      </w:r>
      <w:r>
        <w:t xml:space="preserve">Optimize transport routes and modes for both upstream material procurement and downstream product distribution to minimize fuel consumption.</w:t>
      </w:r>
    </w:p>
    <w:p>
      <w:pPr>
        <w:numPr>
          <w:ilvl w:val="0"/>
          <w:numId w:val="1018"/>
        </w:numPr>
        <w:pStyle w:val="Compact"/>
      </w:pPr>
      <w:r>
        <w:rPr>
          <w:bCs/>
          <w:b/>
        </w:rPr>
        <w:t xml:space="preserve">Circular Economy Enhancement:</w:t>
      </w:r>
      <w:r>
        <w:t xml:space="preserve"> </w:t>
      </w:r>
      <w:r>
        <w:t xml:space="preserve">Continue to strengthen take-back and recycling programs to maximize material recovery and minimize landfill impacts.</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pzqijugrrn</dc:title>
  <dc:creator/>
  <dc:description>Detailed Product Carbon Footprint (PCF) analysis for pzqijugrrn, conducted by mlezdgflhw for pfmwgjlupe, adhering to GHG Protocol and 2026 LSR Update requirements.</dc:description>
  <dc:language>en</dc:language>
  <cp:keywords/>
  <dcterms:created xsi:type="dcterms:W3CDTF">2026-05-30T22:10:32Z</dcterms:created>
  <dcterms:modified xsi:type="dcterms:W3CDTF">2026-05-30T22:10:32Z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