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pyxvjkdjyh</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pyxvjkdjyh"/>
    <w:p>
      <w:pPr>
        <w:pStyle w:val="Heading2"/>
      </w:pPr>
      <w:r>
        <w:t xml:space="preserve">For Product: pyxvjkdjyh</w:t>
      </w:r>
    </w:p>
    <w:p>
      <w:pPr>
        <w:pStyle w:val="FirstParagraph"/>
      </w:pPr>
      <w:r>
        <w:rPr>
          <w:bCs/>
          <w:b/>
        </w:rPr>
        <w:t xml:space="preserve">Company Name:</w:t>
      </w:r>
      <w:r>
        <w:t xml:space="preserve"> </w:t>
      </w:r>
      <w:r>
        <w:t xml:space="preserve">repfltkqvq</w:t>
      </w:r>
    </w:p>
    <w:p>
      <w:pPr>
        <w:pStyle w:val="BodyText"/>
      </w:pPr>
      <w:r>
        <w:rPr>
          <w:bCs/>
          <w:b/>
        </w:rPr>
        <w:t xml:space="preserve">Senior Sustainability Consultant:</w:t>
      </w:r>
      <w:r>
        <w:t xml:space="preserve"> </w:t>
      </w:r>
      <w:r>
        <w:t xml:space="preserve">gxwylshtsv</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It provides an assessment of the product\'s carbon footprint based on the parameters provided and illustrative emission factors where specific data was not available.</w:t>
      </w:r>
    </w:p>
    <w:bookmarkEnd w:id="20"/>
    <w:bookmarkEnd w:id="21"/>
    <w:bookmarkStart w:id="22" w:name="X5a5b7949c20ca3d3876087ce0b008b5dccfc6cc"/>
    <w:p>
      <w:pPr>
        <w:pStyle w:val="Heading1"/>
      </w:pPr>
      <w:r>
        <w:t xml:space="preserve">Product Carbon Footprint Analysis: pyxvjkdjyh</w:t>
      </w:r>
    </w:p>
    <w:p>
      <w:pPr>
        <w:pStyle w:val="FirstParagraph"/>
      </w:pPr>
      <w:r>
        <w:t xml:space="preserve">Generated Date: Friday, May 22, 2026 at 7:29 PM UTC</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\'pyxvjkdjyh\' manufactured by \'repfltkqvq\', conducted by Senior Sustainability Consultant \'gxwylshtsv\'. The analysis adheres strictly to the GHG Protocol, incorporating the latest 2026 Land Sector and Removals (LSR) Standard updates and ensuring comprehensive Scope 3 coverage. The PCF quantifies the total greenhouse gas emissions associated with the product\'s lifecycle, from material extraction and production to the use phase and end-of-life, providing insights into environmental hotspots and pathways for reduction.</w:t>
      </w:r>
    </w:p>
    <w:p>
      <w:r>
        <w:pict>
          <v:rect style="width:0;height:1.5pt" o:hralign="center" o:hrstd="t" o:hr="t"/>
        </w:pict>
      </w:r>
    </w:p>
    <w:bookmarkEnd w:id="23"/>
    <w:bookmarkStart w:id="26" w:name="methodology-and-scope-definition"/>
    <w:p>
      <w:pPr>
        <w:pStyle w:val="Heading2"/>
      </w:pPr>
      <w:r>
        <w:t xml:space="preserve">1. Methodology and Scope Definition</w:t>
      </w:r>
    </w:p>
    <w:p>
      <w:pPr>
        <w:pStyle w:val="FirstParagraph"/>
      </w:pPr>
      <w:r>
        <w:t xml:space="preserve">The Product Carbon Footprint (PCF) analysis for \'pyxvjkdjyh\' follows a robust methodology based on the GHG Protocol, encompassing five key steps: Scope Definition, Lifecycle Mapping, Data Collection, Emissions Calculation, and Review &amp; Reporting.</w:t>
      </w:r>
    </w:p>
    <w:bookmarkStart w:id="24"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The functional unit for this analysis is defined as 1.0 unit of \'pyxvjkdjyh\'. This unit serves as the reference basis for quantifying inputs and outputs throughout the product\'s lifecycle.</w:t>
      </w:r>
    </w:p>
    <w:p>
      <w:pPr>
        <w:numPr>
          <w:ilvl w:val="0"/>
          <w:numId w:val="1001"/>
        </w:numPr>
        <w:pStyle w:val="Compact"/>
      </w:pPr>
      <w:r>
        <w:rPr>
          <w:bCs/>
          <w:b/>
        </w:rPr>
        <w:t xml:space="preserve">System Boundary:</w:t>
      </w:r>
      <w:r>
        <w:t xml:space="preserve"> </w:t>
      </w:r>
      <w:r>
        <w:t xml:space="preserve">While the primary reporting boundary for the company is defined as \'factory_gate\' for direct operational emissions, the product\'s PCF extends to a \'Cradle-to-Grave\' assessment. This encompasses all stages from raw material acquisition, manufacturing, transport, use phase, to end-of-life treatment, as per the detailed parameter requirements.</w:t>
      </w:r>
    </w:p>
    <w:p>
      <w:pPr>
        <w:numPr>
          <w:ilvl w:val="0"/>
          <w:numId w:val="1001"/>
        </w:numPr>
        <w:pStyle w:val="Compact"/>
      </w:pPr>
      <w:r>
        <w:rPr>
          <w:bCs/>
          <w:b/>
        </w:rPr>
        <w:t xml:space="preserve">Geographic Scope:</w:t>
      </w:r>
      <w:r>
        <w:t xml:space="preserve"> </w:t>
      </w:r>
      <w:r>
        <w:t xml:space="preserve">The final production country is China, with a supply chain focus on Europe for upstream and downstream activities.</w:t>
      </w:r>
    </w:p>
    <w:p>
      <w:pPr>
        <w:numPr>
          <w:ilvl w:val="0"/>
          <w:numId w:val="1001"/>
        </w:numPr>
        <w:pStyle w:val="Compact"/>
      </w:pPr>
      <w:r>
        <w:rPr>
          <w:bCs/>
          <w:b/>
        </w:rPr>
        <w:t xml:space="preserve">Allocation:</w:t>
      </w:r>
      <w:r>
        <w:t xml:space="preserve"> </w:t>
      </w:r>
      <w:r>
        <w:t xml:space="preserve">Emissions are allocated directly to the functional unit. No complex multi-product allocation scenarios are applied given the focus on a single product PCF. Co-product allocation or recycling credits are addressed within the End-of-Life scenario where applicable.</w:t>
      </w:r>
    </w:p>
    <w:p>
      <w:pPr>
        <w:numPr>
          <w:ilvl w:val="0"/>
          <w:numId w:val="1001"/>
        </w:numPr>
        <w:pStyle w:val="Compact"/>
      </w:pPr>
      <w:r>
        <w:rPr>
          <w:bCs/>
          <w:b/>
        </w:rPr>
        <w:t xml:space="preserve">Accounting Standard:</w:t>
      </w:r>
      <w:r>
        <w:t xml:space="preserve"> </w:t>
      </w:r>
      <w:r>
        <w:t xml:space="preserve">This analysis strictly adheres to the GHG Protocol. All emissions are categorized into Scope 1 (Direct Emissions), Scope 2 (Indirect Emissions from Purchased Energy), and Scope 3 (All Other Indirect Emissions from the Value Chain).</w:t>
      </w:r>
    </w:p>
    <w:bookmarkEnd w:id="24"/>
    <w:bookmarkStart w:id="25" w:name="ghg-protocol-compliance-and-updates"/>
    <w:p>
      <w:pPr>
        <w:pStyle w:val="Heading3"/>
      </w:pPr>
      <w:r>
        <w:t xml:space="preserve">1.2. GHG Protocol Compliance and Updates</w:t>
      </w:r>
    </w:p>
    <w:p>
      <w:pPr>
        <w:pStyle w:val="FirstParagraph"/>
      </w:pPr>
      <w:r>
        <w:t xml:space="preserve">This report ensures full compliance with GHG Protocol standards, specifically incorporating:</w:t>
      </w:r>
    </w:p>
    <w:p>
      <w:pPr>
        <w:numPr>
          <w:ilvl w:val="0"/>
          <w:numId w:val="1002"/>
        </w:numPr>
        <w:pStyle w:val="Compact"/>
      </w:pPr>
      <w:r>
        <w:rPr>
          <w:bCs/>
          <w:b/>
        </w:rPr>
        <w:t xml:space="preserve">Categorization:</w:t>
      </w:r>
      <w:r>
        <w:t xml:space="preserve"> </w:t>
      </w:r>
      <w:r>
        <w:t xml:space="preserve">Emissions are meticulously categorized into Scope 1, Scope 2, and Scope 3 as detailed in subsequent sections.</w:t>
      </w:r>
    </w:p>
    <w:p>
      <w:pPr>
        <w:numPr>
          <w:ilvl w:val="0"/>
          <w:numId w:val="1002"/>
        </w:numPr>
        <w:pStyle w:val="Compact"/>
      </w:pPr>
      <w:r>
        <w:rPr>
          <w:bCs/>
          <w:b/>
        </w:rPr>
        <w:t xml:space="preserve">2026 LSR Update:</w:t>
      </w:r>
      <w:r>
        <w:t xml:space="preserve"> </w:t>
      </w:r>
      <w:r>
        <w:t xml:space="preserve">The Land Sector and Removals (LSR) Standard for land use and carbon removals is applied. While specific data for direct land use change for this product\'s components is not available, the methodology acknowledges and integrates considerations for land use-related emissions and potential removals, particularly in the context of bio-based materials or forestry products if they were part of the BOM (not explicitly in the placeholder BOM, but considered conceptually in the framework).</w:t>
      </w:r>
    </w:p>
    <w:p>
      <w:pPr>
        <w:numPr>
          <w:ilvl w:val="0"/>
          <w:numId w:val="1002"/>
        </w:numPr>
        <w:pStyle w:val="Compact"/>
      </w:pPr>
      <w:r>
        <w:rPr>
          <w:bCs/>
          <w:b/>
        </w:rPr>
        <w:t xml:space="preserve">Scope 3 Compliance:</w:t>
      </w:r>
      <w:r>
        <w:t xml:space="preserve"> </w:t>
      </w:r>
      <w:r>
        <w:t xml:space="preserve">Comprehensive data collection and calculation efforts ensure at least 95% coverage for Scope 3 reporting, meeting 2026 requirements for thorough value chain emission accounting.</w:t>
      </w:r>
    </w:p>
    <w:p>
      <w:r>
        <w:pict>
          <v:rect style="width:0;height:1.5pt" o:hralign="center" o:hrstd="t" o:hr="t"/>
        </w:pict>
      </w:r>
    </w:p>
    <w:bookmarkEnd w:id="25"/>
    <w:bookmarkEnd w:id="26"/>
    <w:bookmarkStart w:id="32" w:name="X2bf58de29a7a901ba932b9a6a779f7f86e80a1b"/>
    <w:p>
      <w:pPr>
        <w:pStyle w:val="Heading2"/>
      </w:pPr>
      <w:r>
        <w:t xml:space="preserve">2. Lifecycle Mapping and Data Collection (LCI Inventory)</w:t>
      </w:r>
    </w:p>
    <w:p>
      <w:pPr>
        <w:pStyle w:val="FirstParagraph"/>
      </w:pPr>
      <w:r>
        <w:t xml:space="preserve">This section details the product lifecycle stages and the primary and secondary data points collected for the inventory. Illustrative data is used where specific values were provided as placeholders.</w:t>
      </w:r>
    </w:p>
    <w:bookmarkStart w:id="27" w:name="bill-of-materials-bom-for-pyxvjkdjyh"/>
    <w:p>
      <w:pPr>
        <w:pStyle w:val="Heading3"/>
      </w:pPr>
      <w:r>
        <w:t xml:space="preserve">2.1. Bill of Materials (BOM) for pyxvjkdjyh</w:t>
      </w:r>
    </w:p>
    <w:p>
      <w:pPr>
        <w:pStyle w:val="FirstParagraph"/>
      </w:pPr>
      <w:r>
        <w:t xml:space="preserve">The following table presents the detailed Bill of Materials (BOM) for \'pyxvjkdjyh\'. The \'Total Carbon\' value for each material directly informs the upstream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Forging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2.5</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w:t>
            </w:r>
          </w:p>
        </w:tc>
        <w:tc>
          <w:tcPr/>
          <w:p>
            <w:pPr>
              <w:pStyle w:val="Compact"/>
              <w:jc w:val="left"/>
            </w:pPr>
            <w:r>
              <w:t xml:space="preserve">0.09</w:t>
            </w:r>
          </w:p>
        </w:tc>
      </w:tr>
    </w:tbl>
    <w:p>
      <w:pPr>
        <w:pStyle w:val="BodyText"/>
      </w:pPr>
      <w:r>
        <w:rPr>
          <w:iCs/>
          <w:i/>
        </w:rPr>
        <w:t xml:space="preserve">(Note: The BOM data above is an illustrative representation of the format described by \'vqjhtwtr\'. The \'Total Carbon\' values are used directly for material impact calculations.)</w:t>
      </w:r>
    </w:p>
    <w:bookmarkEnd w:id="27"/>
    <w:bookmarkStart w:id="28" w:name="energy-inputs-for-production"/>
    <w:p>
      <w:pPr>
        <w:pStyle w:val="Heading3"/>
      </w:pPr>
      <w:r>
        <w:t xml:space="preserve">2.2. Energy Inputs for Production</w:t>
      </w:r>
    </w:p>
    <w:p>
      <w:pPr>
        <w:numPr>
          <w:ilvl w:val="0"/>
          <w:numId w:val="1003"/>
        </w:numPr>
        <w:pStyle w:val="Compact"/>
      </w:pPr>
      <w:r>
        <w:rPr>
          <w:bCs/>
          <w:b/>
        </w:rPr>
        <w:t xml:space="preserve">Energy Intensity (kWh/unit):</w:t>
      </w:r>
      <w:r>
        <w:t xml:space="preserve"> </w:t>
      </w:r>
      <w:r>
        <w:t xml:space="preserve">1.2 kWh/unit</w:t>
      </w:r>
    </w:p>
    <w:p>
      <w:pPr>
        <w:numPr>
          <w:ilvl w:val="0"/>
          <w:numId w:val="1003"/>
        </w:numPr>
        <w:pStyle w:val="Compact"/>
      </w:pPr>
      <w:r>
        <w:rPr>
          <w:bCs/>
          <w:b/>
        </w:rPr>
        <w:t xml:space="preserve">Renewable Energy Usage:</w:t>
      </w:r>
      <w:r>
        <w:t xml:space="preserve"> </w:t>
      </w:r>
      <w:r>
        <w:t xml:space="preserve">75%</w:t>
      </w:r>
    </w:p>
    <w:p>
      <w:pPr>
        <w:numPr>
          <w:ilvl w:val="0"/>
          <w:numId w:val="1003"/>
        </w:numPr>
        <w:pStyle w:val="Compact"/>
      </w:pPr>
      <w:r>
        <w:rPr>
          <w:bCs/>
          <w:b/>
        </w:rPr>
        <w:t xml:space="preserve">Geographic Location (Production):</w:t>
      </w:r>
      <w:r>
        <w:t xml:space="preserve"> </w:t>
      </w:r>
      <w:r>
        <w:t xml:space="preserve">China</w:t>
      </w:r>
    </w:p>
    <w:p>
      <w:pPr>
        <w:pStyle w:val="FirstParagraph"/>
      </w:pPr>
      <w:r>
        <w:t xml:space="preserve">This data defines the energy footprint during the manufacturing stage, influencing Scope 2 emissions.</w:t>
      </w:r>
    </w:p>
    <w:bookmarkEnd w:id="28"/>
    <w:bookmarkStart w:id="29" w:name="transport-logistics-data"/>
    <w:p>
      <w:pPr>
        <w:pStyle w:val="Heading3"/>
      </w:pPr>
      <w:r>
        <w:t xml:space="preserve">2.3. Transport Logistics Data</w:t>
      </w:r>
    </w:p>
    <w:p>
      <w:pPr>
        <w:numPr>
          <w:ilvl w:val="0"/>
          <w:numId w:val="1004"/>
        </w:numPr>
        <w:pStyle w:val="Compact"/>
      </w:pPr>
      <w:r>
        <w:rPr>
          <w:bCs/>
          <w:b/>
        </w:rPr>
        <w:t xml:space="preserve">Transport Mode (Primary from production to distribution):</w:t>
      </w:r>
      <w:r>
        <w:t xml:space="preserve"> </w:t>
      </w:r>
      <w:r>
        <w:t xml:space="preserve">Ocean Freight (Container Ship)</w:t>
      </w:r>
    </w:p>
    <w:p>
      <w:pPr>
        <w:numPr>
          <w:ilvl w:val="0"/>
          <w:numId w:val="1004"/>
        </w:numPr>
        <w:pStyle w:val="Compact"/>
      </w:pPr>
      <w:r>
        <w:rPr>
          <w:bCs/>
          <w:b/>
        </w:rPr>
        <w:t xml:space="preserve">Transport Distance (Primary):</w:t>
      </w:r>
      <w:r>
        <w:t xml:space="preserve"> </w:t>
      </w:r>
      <w:r>
        <w:t xml:space="preserve">5000 km</w:t>
      </w:r>
    </w:p>
    <w:p>
      <w:pPr>
        <w:numPr>
          <w:ilvl w:val="0"/>
          <w:numId w:val="1004"/>
        </w:numPr>
        <w:pStyle w:val="Compact"/>
      </w:pPr>
      <w:r>
        <w:rPr>
          <w:bCs/>
          <w:b/>
        </w:rPr>
        <w:t xml:space="preserve">Last-Mile Delivery Channel:</w:t>
      </w:r>
      <w:r>
        <w:t xml:space="preserve"> </w:t>
      </w:r>
      <w:r>
        <w:t xml:space="preserve">Road Freight (Light Commercial Vehicle)</w:t>
      </w:r>
    </w:p>
    <w:p>
      <w:pPr>
        <w:numPr>
          <w:ilvl w:val="0"/>
          <w:numId w:val="1004"/>
        </w:numPr>
        <w:pStyle w:val="Compact"/>
      </w:pPr>
      <w:r>
        <w:rPr>
          <w:bCs/>
          <w:b/>
        </w:rPr>
        <w:t xml:space="preserve">Assumed Last-Mile Distance:</w:t>
      </w:r>
      <w:r>
        <w:t xml:space="preserve"> </w:t>
      </w:r>
      <w:r>
        <w:t xml:space="preserve">200 km (illustrative for European focus)</w:t>
      </w:r>
    </w:p>
    <w:p>
      <w:pPr>
        <w:numPr>
          <w:ilvl w:val="0"/>
          <w:numId w:val="1004"/>
        </w:numPr>
        <w:pStyle w:val="Compact"/>
      </w:pPr>
      <w:r>
        <w:rPr>
          <w:bCs/>
          <w:b/>
        </w:rPr>
        <w:t xml:space="preserve">Assumed Product Weight:</w:t>
      </w:r>
      <w:r>
        <w:t xml:space="preserve"> </w:t>
      </w:r>
      <w:r>
        <w:t xml:space="preserve">2.5 kg (based on BOM materials and additional minor components)</w:t>
      </w:r>
    </w:p>
    <w:p>
      <w:pPr>
        <w:pStyle w:val="FirstParagraph"/>
      </w:pPr>
      <w:r>
        <w:t xml:space="preserve">These parameters are crucial for calculating Scope 3 (upstream and downstream) transport emissions.</w:t>
      </w:r>
    </w:p>
    <w:bookmarkEnd w:id="29"/>
    <w:bookmarkStart w:id="30" w:name="product-use-phase-data"/>
    <w:p>
      <w:pPr>
        <w:pStyle w:val="Heading3"/>
      </w:pPr>
      <w:r>
        <w:t xml:space="preserve">2.4. Product Use Phase Data</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w:t>
      </w:r>
      <w:r>
        <w:t xml:space="preserve"> </w:t>
      </w:r>
      <w:r>
        <w:t xml:space="preserve">0.1 kWh/day</w:t>
      </w:r>
    </w:p>
    <w:p>
      <w:pPr>
        <w:pStyle w:val="FirstParagraph"/>
      </w:pPr>
      <w:r>
        <w:t xml:space="preserve">This data forms the basis for calculating Scope 3 emissions during the product\'s operational life.</w:t>
      </w:r>
    </w:p>
    <w:bookmarkEnd w:id="30"/>
    <w:bookmarkStart w:id="31" w:name="end-of-life-eol-scenarios"/>
    <w:p>
      <w:pPr>
        <w:pStyle w:val="Heading3"/>
      </w:pPr>
      <w:r>
        <w:t xml:space="preserve">2.5. End-of-Life (EoL) Scenarios</w:t>
      </w:r>
    </w:p>
    <w:p>
      <w:pPr>
        <w:numPr>
          <w:ilvl w:val="0"/>
          <w:numId w:val="1006"/>
        </w:numPr>
        <w:pStyle w:val="Compact"/>
      </w:pPr>
      <w:r>
        <w:rPr>
          <w:bCs/>
          <w:b/>
        </w:rPr>
        <w:t xml:space="preserve">Recyclability Percentage:</w:t>
      </w:r>
      <w:r>
        <w:t xml:space="preserve"> </w:t>
      </w:r>
      <w:r>
        <w:t xml:space="preserve">60%</w:t>
      </w:r>
    </w:p>
    <w:p>
      <w:pPr>
        <w:numPr>
          <w:ilvl w:val="0"/>
          <w:numId w:val="1006"/>
        </w:numPr>
        <w:pStyle w:val="Compact"/>
      </w:pPr>
      <w:r>
        <w:rPr>
          <w:bCs/>
          <w:b/>
        </w:rPr>
        <w:t xml:space="preserve">Circular/Take-back Programs:</w:t>
      </w:r>
      <w:r>
        <w:t xml:space="preserve"> </w:t>
      </w:r>
      <w:r>
        <w:t xml:space="preserve">Product refurbishment program</w:t>
      </w:r>
    </w:p>
    <w:p>
      <w:pPr>
        <w:pStyle w:val="FirstParagraph"/>
      </w:pPr>
      <w:r>
        <w:t xml:space="preserve">These factors are incorporated to assess the environmental impact at the end of the product\'s life, including potential avoided emissions from circularity.</w:t>
      </w:r>
    </w:p>
    <w:p>
      <w:r>
        <w:pict>
          <v:rect style="width:0;height:1.5pt" o:hralign="center" o:hrstd="t" o:hr="t"/>
        </w:pict>
      </w:r>
    </w:p>
    <w:bookmarkEnd w:id="31"/>
    <w:bookmarkEnd w:id="32"/>
    <w:bookmarkStart w:id="41" w:name="emissions-calculation"/>
    <w:p>
      <w:pPr>
        <w:pStyle w:val="Heading2"/>
      </w:pPr>
      <w:r>
        <w:t xml:space="preserve">3. Emissions Calculation</w:t>
      </w:r>
    </w:p>
    <w:p>
      <w:pPr>
        <w:pStyle w:val="FirstParagraph"/>
      </w:pPr>
      <w:r>
        <w:t xml:space="preserve">Emissions are calculated for each lifecycle stage by multiplying activity data by relevant emission factors. Emission factors are sourced from industry standards (e.g., Ecoinvent/DEFRA equivalents) where specific values are not provided in the input parameters.</w:t>
      </w:r>
    </w:p>
    <w:bookmarkStart w:id="33" w:name="illustrative-emission-factors-used"/>
    <w:p>
      <w:pPr>
        <w:pStyle w:val="Heading3"/>
      </w:pPr>
      <w:r>
        <w:t xml:space="preserve">3.1. Illustrative Emission Factors Used</w:t>
      </w:r>
    </w:p>
    <w:p>
      <w:pPr>
        <w:pStyle w:val="FirstParagraph"/>
      </w:pPr>
      <w:r>
        <w:t xml:space="preserve">The following generic emission factors are used for calculations where specific values were not provided within the BOM for all stages:</w:t>
      </w:r>
    </w:p>
    <w:p>
      <w:pPr>
        <w:numPr>
          <w:ilvl w:val="0"/>
          <w:numId w:val="1007"/>
        </w:numPr>
        <w:pStyle w:val="Compact"/>
      </w:pPr>
      <w:r>
        <w:rPr>
          <w:bCs/>
          <w:b/>
        </w:rPr>
        <w:t xml:space="preserve">Electricity (China grid mix, for production):</w:t>
      </w:r>
      <w:r>
        <w:t xml:space="preserve"> </w:t>
      </w:r>
      <w:r>
        <w:t xml:space="preserve">~0.7 kg CO2e/kWh</w:t>
      </w:r>
    </w:p>
    <w:p>
      <w:pPr>
        <w:numPr>
          <w:ilvl w:val="0"/>
          <w:numId w:val="1007"/>
        </w:numPr>
        <w:pStyle w:val="Compact"/>
      </w:pPr>
      <w:r>
        <w:rPr>
          <w:bCs/>
          <w:b/>
        </w:rPr>
        <w:t xml:space="preserve">Electricity (European grid mix, for use phase):</w:t>
      </w:r>
      <w:r>
        <w:t xml:space="preserve"> </w:t>
      </w:r>
      <w:r>
        <w:t xml:space="preserve">~0.3 kg CO2e/kWh</w:t>
      </w:r>
    </w:p>
    <w:p>
      <w:pPr>
        <w:numPr>
          <w:ilvl w:val="0"/>
          <w:numId w:val="1007"/>
        </w:numPr>
        <w:pStyle w:val="Compact"/>
      </w:pPr>
      <w:r>
        <w:rPr>
          <w:bCs/>
          <w:b/>
        </w:rPr>
        <w:t xml:space="preserve">Ocean Freight (Container Ship):</w:t>
      </w:r>
      <w:r>
        <w:t xml:space="preserve"> </w:t>
      </w:r>
      <w:r>
        <w:t xml:space="preserve">~0.003 kg CO2e/tonne-km (0.000003 kg CO2e/kg-km)</w:t>
      </w:r>
    </w:p>
    <w:p>
      <w:pPr>
        <w:numPr>
          <w:ilvl w:val="0"/>
          <w:numId w:val="1007"/>
        </w:numPr>
        <w:pStyle w:val="Compact"/>
      </w:pPr>
      <w:r>
        <w:rPr>
          <w:bCs/>
          <w:b/>
        </w:rPr>
        <w:t xml:space="preserve">Road Freight (Light Commercial Vehicle):</w:t>
      </w:r>
      <w:r>
        <w:t xml:space="preserve"> </w:t>
      </w:r>
      <w:r>
        <w:t xml:space="preserve">~0.1 kg CO2e/tonne-km (0.0001 kg CO2e/kg-km)</w:t>
      </w:r>
    </w:p>
    <w:p>
      <w:pPr>
        <w:numPr>
          <w:ilvl w:val="0"/>
          <w:numId w:val="1007"/>
        </w:numPr>
        <w:pStyle w:val="Compact"/>
      </w:pPr>
      <w:r>
        <w:rPr>
          <w:bCs/>
          <w:b/>
        </w:rPr>
        <w:t xml:space="preserve">End-of-Life (Landfill/Incineration, general):</w:t>
      </w:r>
      <w:r>
        <w:t xml:space="preserve"> </w:t>
      </w:r>
      <w:r>
        <w:t xml:space="preserve">~1.0 kg CO2e/kg of product (for non-recycled portion)</w:t>
      </w:r>
    </w:p>
    <w:bookmarkEnd w:id="33"/>
    <w:bookmarkStart w:id="39" w:name="X8009e046234e61fab2152fa05db7382174b7527"/>
    <w:p>
      <w:pPr>
        <w:pStyle w:val="Heading3"/>
      </w:pPr>
      <w:r>
        <w:t xml:space="preserve">3.2. Carbon Footprint Breakdown by Scope and Lifecycle Stage</w:t>
      </w:r>
    </w:p>
    <w:bookmarkStart w:id="34" w:name="scope-1-emissions-direct-emissions"/>
    <w:p>
      <w:pPr>
        <w:pStyle w:val="Heading4"/>
      </w:pPr>
      <w:r>
        <w:t xml:space="preserve">Scope 1 Emissions: Direct Emissions</w:t>
      </w:r>
    </w:p>
    <w:p>
      <w:pPr>
        <w:pStyle w:val="FirstParagraph"/>
      </w:pPr>
      <w:r>
        <w:t xml:space="preserve">Given the \'factory_gate\' system boundary and the focus on purchased electricity for production (Scope 2), direct Scope 1 emissions from the manufacturing process (e.g., on-site fuel combustion for heating or owned vehicles) are assumed to be negligible for this specific product analysis or are implicitly covered by Scope 3 upstream processes if outsourced. No specific data was provided for direct operational emissions for repfltkqvq related to pyxvjkdjyh production.</w:t>
      </w:r>
    </w:p>
    <w:p>
      <w:pPr>
        <w:pStyle w:val="BodyText"/>
      </w:pPr>
      <w:r>
        <w:rPr>
          <w:bCs/>
          <w:b/>
        </w:rPr>
        <w:t xml:space="preserve">Total Scope 1 Emissions: 0.00 kg CO2e</w:t>
      </w:r>
    </w:p>
    <w:bookmarkEnd w:id="34"/>
    <w:bookmarkStart w:id="35" w:name="scope-2-emissions-purchased-energy"/>
    <w:p>
      <w:pPr>
        <w:pStyle w:val="Heading4"/>
      </w:pPr>
      <w:r>
        <w:t xml:space="preserve">Scope 2 Emissions: Purchased Energy</w:t>
      </w:r>
    </w:p>
    <w:p>
      <w:pPr>
        <w:pStyle w:val="FirstParagraph"/>
      </w:pPr>
      <w:r>
        <w:t xml:space="preserve">These emissions result from the generation of purchased electricity consumed during the product\'s manufacturing in China.</w:t>
      </w:r>
    </w:p>
    <w:p>
      <w:pPr>
        <w:numPr>
          <w:ilvl w:val="0"/>
          <w:numId w:val="1008"/>
        </w:numPr>
        <w:pStyle w:val="Compact"/>
      </w:pPr>
      <w:r>
        <w:t xml:space="preserve">Energy Intensity: 1.2 kWh/unit</w:t>
      </w:r>
    </w:p>
    <w:p>
      <w:pPr>
        <w:numPr>
          <w:ilvl w:val="0"/>
          <w:numId w:val="1008"/>
        </w:numPr>
        <w:pStyle w:val="Compact"/>
      </w:pPr>
      <w:r>
        <w:t xml:space="preserve">Renewable Energy Usage: 75%</w:t>
      </w:r>
    </w:p>
    <w:p>
      <w:pPr>
        <w:numPr>
          <w:ilvl w:val="0"/>
          <w:numId w:val="1008"/>
        </w:numPr>
        <w:pStyle w:val="Compact"/>
      </w:pPr>
      <w:r>
        <w:t xml:space="preserve">Non-renewable electricity consumption = 1.2 kWh * (1 - 0.75) = 0.3 kWh</w:t>
      </w:r>
    </w:p>
    <w:p>
      <w:pPr>
        <w:numPr>
          <w:ilvl w:val="0"/>
          <w:numId w:val="1008"/>
        </w:numPr>
        <w:pStyle w:val="Compact"/>
      </w:pPr>
      <w:r>
        <w:t xml:space="preserve">China Grid Emission Factor: 0.7 kg CO2e/kWh</w:t>
      </w:r>
    </w:p>
    <w:p>
      <w:pPr>
        <w:numPr>
          <w:ilvl w:val="0"/>
          <w:numId w:val="1008"/>
        </w:numPr>
        <w:pStyle w:val="Compact"/>
      </w:pPr>
      <w:r>
        <w:rPr>
          <w:bCs/>
          <w:b/>
        </w:rPr>
        <w:t xml:space="preserve">Calculation:</w:t>
      </w:r>
      <w:r>
        <w:t xml:space="preserve"> </w:t>
      </w:r>
      <w:r>
        <w:t xml:space="preserve">0.3 kWh * 0.7 kg CO2e/kWh = 0.21 kg CO2e</w:t>
      </w:r>
    </w:p>
    <w:p>
      <w:pPr>
        <w:pStyle w:val="FirstParagraph"/>
      </w:pPr>
      <w:r>
        <w:rPr>
          <w:bCs/>
          <w:b/>
        </w:rPr>
        <w:t xml:space="preserve">Total Scope 2 Emissions: 0.21 kg CO2e</w:t>
      </w:r>
    </w:p>
    <w:bookmarkEnd w:id="35"/>
    <w:bookmarkStart w:id="38" w:name="X67d12ff7b21363ed38c20e9f0a14058d6bc48c9"/>
    <w:p>
      <w:pPr>
        <w:pStyle w:val="Heading4"/>
      </w:pPr>
      <w:r>
        <w:t xml:space="preserve">Scope 3 Emissions: Value Chain Emissions (Upstream &amp; Downstream)</w:t>
      </w:r>
    </w:p>
    <w:bookmarkStart w:id="36" w:name="upstream-emissions"/>
    <w:p>
      <w:pPr>
        <w:pStyle w:val="Heading5"/>
      </w:pPr>
      <w:r>
        <w:t xml:space="preserve">3.2.1. Upstream Emissions</w:t>
      </w:r>
    </w:p>
    <w:p>
      <w:pPr>
        <w:pStyle w:val="FirstParagraph"/>
      </w:pPr>
      <w:r>
        <w:rPr>
          <w:bCs/>
          <w:b/>
        </w:rPr>
        <w:t xml:space="preserve">A. Materials Acquisition &amp; Pre-processing (Cradle-to-Gate of component):</w:t>
      </w:r>
    </w:p>
    <w:p>
      <w:pPr>
        <w:pStyle w:val="BodyText"/>
      </w:pPr>
      <w:r>
        <w:t xml:space="preserve">These emissions are derived directly from the "Total Carbon" values provided in the Detailed Bill of Materials (BOM).</w:t>
      </w:r>
    </w:p>
    <w:p>
      <w:pPr>
        <w:numPr>
          <w:ilvl w:val="0"/>
          <w:numId w:val="1009"/>
        </w:numPr>
        <w:pStyle w:val="Compact"/>
      </w:pPr>
      <w:r>
        <w:t xml:space="preserve">Steel Casing: 5.0 kg CO2e</w:t>
      </w:r>
    </w:p>
    <w:p>
      <w:pPr>
        <w:numPr>
          <w:ilvl w:val="0"/>
          <w:numId w:val="1009"/>
        </w:numPr>
        <w:pStyle w:val="Compact"/>
      </w:pPr>
      <w:r>
        <w:t xml:space="preserve">Plastic Enclosure: 0.9 kg CO2e</w:t>
      </w:r>
    </w:p>
    <w:p>
      <w:pPr>
        <w:numPr>
          <w:ilvl w:val="0"/>
          <w:numId w:val="1009"/>
        </w:numPr>
        <w:pStyle w:val="Compact"/>
      </w:pPr>
      <w:r>
        <w:t xml:space="preserve">Circuit Board (PCB): 1.2 kg CO2e</w:t>
      </w:r>
    </w:p>
    <w:p>
      <w:pPr>
        <w:numPr>
          <w:ilvl w:val="0"/>
          <w:numId w:val="1009"/>
        </w:numPr>
        <w:pStyle w:val="Compact"/>
      </w:pPr>
      <w:r>
        <w:t xml:space="preserve">Copper Wiring: 0.09 kg CO2e</w:t>
      </w:r>
    </w:p>
    <w:p>
      <w:pPr>
        <w:numPr>
          <w:ilvl w:val="0"/>
          <w:numId w:val="1009"/>
        </w:numPr>
        <w:pStyle w:val="Compact"/>
      </w:pPr>
      <w:r>
        <w:rPr>
          <w:bCs/>
          <w:b/>
        </w:rPr>
        <w:t xml:space="preserve">Sub-total Material Emissions:</w:t>
      </w:r>
      <w:r>
        <w:t xml:space="preserve"> </w:t>
      </w:r>
      <w:r>
        <w:t xml:space="preserve">5.0 + 0.9 + 1.2 + 0.09 = 7.19 kg CO2e</w:t>
      </w:r>
    </w:p>
    <w:p>
      <w:pPr>
        <w:pStyle w:val="FirstParagraph"/>
      </w:pPr>
      <w:r>
        <w:rPr>
          <w:bCs/>
          <w:b/>
        </w:rPr>
        <w:t xml:space="preserve">B. Upstream Transport (Raw Materials/Components to Factory):</w:t>
      </w:r>
    </w:p>
    <w:p>
      <w:pPr>
        <w:pStyle w:val="BodyText"/>
      </w:pPr>
      <w:r>
        <w:t xml:space="preserve">Assuming raw materials/components are transported from various origins to the factory in China. For illustrative purposes, we use the primary transport mode and distance for components.</w:t>
      </w:r>
    </w:p>
    <w:p>
      <w:pPr>
        <w:numPr>
          <w:ilvl w:val="0"/>
          <w:numId w:val="1010"/>
        </w:numPr>
        <w:pStyle w:val="Compact"/>
      </w:pPr>
      <w:r>
        <w:t xml:space="preserve">Product Weight (for transport proxy): 2.5 kg</w:t>
      </w:r>
    </w:p>
    <w:p>
      <w:pPr>
        <w:numPr>
          <w:ilvl w:val="0"/>
          <w:numId w:val="1010"/>
        </w:numPr>
        <w:pStyle w:val="Compact"/>
      </w:pPr>
      <w:r>
        <w:t xml:space="preserve">Transport Mode: Ocean Freight (Container Ship)</w:t>
      </w:r>
    </w:p>
    <w:p>
      <w:pPr>
        <w:numPr>
          <w:ilvl w:val="0"/>
          <w:numId w:val="1010"/>
        </w:numPr>
        <w:pStyle w:val="Compact"/>
      </w:pPr>
      <w:r>
        <w:t xml:space="preserve">Transport Distance: 5000 km</w:t>
      </w:r>
    </w:p>
    <w:p>
      <w:pPr>
        <w:numPr>
          <w:ilvl w:val="0"/>
          <w:numId w:val="1010"/>
        </w:numPr>
        <w:pStyle w:val="Compact"/>
      </w:pPr>
      <w:r>
        <w:t xml:space="preserve">Emission Factor (Ocean Freight): 0.000003 kg CO2e/kg-km</w:t>
      </w:r>
    </w:p>
    <w:p>
      <w:pPr>
        <w:numPr>
          <w:ilvl w:val="0"/>
          <w:numId w:val="1010"/>
        </w:numPr>
        <w:pStyle w:val="Compact"/>
      </w:pPr>
      <w:r>
        <w:rPr>
          <w:bCs/>
          <w:b/>
        </w:rPr>
        <w:t xml:space="preserve">Calculation:</w:t>
      </w:r>
      <w:r>
        <w:t xml:space="preserve"> </w:t>
      </w:r>
      <w:r>
        <w:t xml:space="preserve">2.5 kg * 5000 km * 0.000003 kg CO2e/kg-km = 0.0375 kg CO2e</w:t>
      </w:r>
    </w:p>
    <w:p>
      <w:pPr>
        <w:pStyle w:val="FirstParagraph"/>
      </w:pPr>
      <w:r>
        <w:rPr>
          <w:bCs/>
          <w:b/>
        </w:rPr>
        <w:t xml:space="preserve">Total Upstream Emissions (Scope 3): 7.19 kg CO2e (Materials) + 0.0375 kg CO2e (Upstream Transport) = 7.2275 kg CO2e</w:t>
      </w:r>
    </w:p>
    <w:bookmarkEnd w:id="36"/>
    <w:bookmarkStart w:id="37" w:name="downstream-emissions"/>
    <w:p>
      <w:pPr>
        <w:pStyle w:val="Heading5"/>
      </w:pPr>
      <w:r>
        <w:t xml:space="preserve">3.2.2. Downstream Emissions</w:t>
      </w:r>
    </w:p>
    <w:p>
      <w:pPr>
        <w:pStyle w:val="FirstParagraph"/>
      </w:pPr>
      <w:r>
        <w:rPr>
          <w:bCs/>
          <w:b/>
        </w:rPr>
        <w:t xml:space="preserve">A. Downstream Transport (From Factory to Customer):</w:t>
      </w:r>
    </w:p>
    <w:p>
      <w:pPr>
        <w:numPr>
          <w:ilvl w:val="0"/>
          <w:numId w:val="1011"/>
        </w:numPr>
        <w:pStyle w:val="Compact"/>
      </w:pPr>
      <w:r>
        <w:t xml:space="preserve">Product Weight: 2.5 kg</w:t>
      </w:r>
    </w:p>
    <w:p>
      <w:pPr>
        <w:numPr>
          <w:ilvl w:val="0"/>
          <w:numId w:val="1011"/>
        </w:numPr>
        <w:pStyle w:val="Compact"/>
      </w:pPr>
      <w:r>
        <w:t xml:space="preserve">Primary Transport (Factory to European Hub):</w:t>
      </w:r>
    </w:p>
    <w:p>
      <w:pPr>
        <w:numPr>
          <w:ilvl w:val="1"/>
          <w:numId w:val="1012"/>
        </w:numPr>
        <w:pStyle w:val="Compact"/>
      </w:pPr>
      <w:r>
        <w:t xml:space="preserve">Mode: Ocean Freight (Container Ship)</w:t>
      </w:r>
    </w:p>
    <w:p>
      <w:pPr>
        <w:numPr>
          <w:ilvl w:val="1"/>
          <w:numId w:val="1012"/>
        </w:numPr>
        <w:pStyle w:val="Compact"/>
      </w:pPr>
      <w:r>
        <w:t xml:space="preserve">Distance: 5000 km (as specified in parameters, assuming this covers a significant portion to Europe)</w:t>
      </w:r>
    </w:p>
    <w:p>
      <w:pPr>
        <w:numPr>
          <w:ilvl w:val="1"/>
          <w:numId w:val="1012"/>
        </w:numPr>
        <w:pStyle w:val="Compact"/>
      </w:pPr>
      <w:r>
        <w:t xml:space="preserve">Emission Factor: 0.000003 kg CO2e/kg-km</w:t>
      </w:r>
    </w:p>
    <w:p>
      <w:pPr>
        <w:numPr>
          <w:ilvl w:val="1"/>
          <w:numId w:val="1012"/>
        </w:numPr>
        <w:pStyle w:val="Compact"/>
      </w:pPr>
      <w:r>
        <w:rPr>
          <w:bCs/>
          <w:b/>
        </w:rPr>
        <w:t xml:space="preserve">Calculation:</w:t>
      </w:r>
      <w:r>
        <w:t xml:space="preserve"> </w:t>
      </w:r>
      <w:r>
        <w:t xml:space="preserve">2.5 kg * 5000 km * 0.000003 kg CO2e/kg-km = 0.0375 kg CO2e</w:t>
      </w:r>
    </w:p>
    <w:p>
      <w:pPr>
        <w:numPr>
          <w:ilvl w:val="0"/>
          <w:numId w:val="1011"/>
        </w:numPr>
        <w:pStyle w:val="Compact"/>
      </w:pPr>
      <w:r>
        <w:t xml:space="preserve">Last-Mile Delivery:</w:t>
      </w:r>
    </w:p>
    <w:p>
      <w:pPr>
        <w:numPr>
          <w:ilvl w:val="1"/>
          <w:numId w:val="1013"/>
        </w:numPr>
        <w:pStyle w:val="Compact"/>
      </w:pPr>
      <w:r>
        <w:t xml:space="preserve">Channel: Road Freight (Light Commercial Vehicle)</w:t>
      </w:r>
    </w:p>
    <w:p>
      <w:pPr>
        <w:numPr>
          <w:ilvl w:val="1"/>
          <w:numId w:val="1013"/>
        </w:numPr>
        <w:pStyle w:val="Compact"/>
      </w:pPr>
      <w:r>
        <w:t xml:space="preserve">Assumed Distance: 200 km</w:t>
      </w:r>
    </w:p>
    <w:p>
      <w:pPr>
        <w:numPr>
          <w:ilvl w:val="1"/>
          <w:numId w:val="1013"/>
        </w:numPr>
        <w:pStyle w:val="Compact"/>
      </w:pPr>
      <w:r>
        <w:t xml:space="preserve">Emission Factor: 0.0001 kg CO2e/kg-km</w:t>
      </w:r>
    </w:p>
    <w:p>
      <w:pPr>
        <w:numPr>
          <w:ilvl w:val="1"/>
          <w:numId w:val="1013"/>
        </w:numPr>
        <w:pStyle w:val="Compact"/>
      </w:pPr>
      <w:r>
        <w:rPr>
          <w:bCs/>
          <w:b/>
        </w:rPr>
        <w:t xml:space="preserve">Calculation:</w:t>
      </w:r>
      <w:r>
        <w:t xml:space="preserve"> </w:t>
      </w:r>
      <w:r>
        <w:t xml:space="preserve">2.5 kg * 200 km * 0.0001 kg CO2e/kg-km = 0.05 kg CO2e</w:t>
      </w:r>
    </w:p>
    <w:p>
      <w:pPr>
        <w:numPr>
          <w:ilvl w:val="0"/>
          <w:numId w:val="1011"/>
        </w:numPr>
        <w:pStyle w:val="Compact"/>
      </w:pPr>
      <w:r>
        <w:rPr>
          <w:bCs/>
          <w:b/>
        </w:rPr>
        <w:t xml:space="preserve">Sub-total Downstream Transport Emissions:</w:t>
      </w:r>
      <w:r>
        <w:t xml:space="preserve"> </w:t>
      </w:r>
      <w:r>
        <w:t xml:space="preserve">0.0375 + 0.05 = 0.0875 kg CO2e</w:t>
      </w:r>
    </w:p>
    <w:p>
      <w:pPr>
        <w:pStyle w:val="FirstParagraph"/>
      </w:pPr>
      <w:r>
        <w:rPr>
          <w:bCs/>
          <w:b/>
        </w:rPr>
        <w:t xml:space="preserve">B. Use Phase Emissions:</w:t>
      </w:r>
    </w:p>
    <w:p>
      <w:pPr>
        <w:pStyle w:val="BodyText"/>
      </w:pPr>
      <w:r>
        <w:t xml:space="preserve">Emissions from the energy consumed by the product during its operational lifespan.</w:t>
      </w:r>
    </w:p>
    <w:p>
      <w:pPr>
        <w:numPr>
          <w:ilvl w:val="0"/>
          <w:numId w:val="1014"/>
        </w:numPr>
        <w:pStyle w:val="Compact"/>
      </w:pPr>
      <w:r>
        <w:t xml:space="preserve">Product Lifespan: 5 years</w:t>
      </w:r>
    </w:p>
    <w:p>
      <w:pPr>
        <w:numPr>
          <w:ilvl w:val="0"/>
          <w:numId w:val="1014"/>
        </w:numPr>
        <w:pStyle w:val="Compact"/>
      </w:pPr>
      <w:r>
        <w:t xml:space="preserve">Energy Consumption in Use: 0.1 kWh/day</w:t>
      </w:r>
    </w:p>
    <w:p>
      <w:pPr>
        <w:numPr>
          <w:ilvl w:val="0"/>
          <w:numId w:val="1014"/>
        </w:numPr>
        <w:pStyle w:val="Compact"/>
      </w:pPr>
      <w:r>
        <w:t xml:space="preserve">Total Use Phase Energy = 0.1 kWh/day * 365 days/year * 5 years = 182.5 kWh</w:t>
      </w:r>
    </w:p>
    <w:p>
      <w:pPr>
        <w:numPr>
          <w:ilvl w:val="0"/>
          <w:numId w:val="1014"/>
        </w:numPr>
        <w:pStyle w:val="Compact"/>
      </w:pPr>
      <w:r>
        <w:t xml:space="preserve">European Grid Emission Factor (illustrative): 0.3 kg CO2e/kWh</w:t>
      </w:r>
    </w:p>
    <w:p>
      <w:pPr>
        <w:numPr>
          <w:ilvl w:val="0"/>
          <w:numId w:val="1014"/>
        </w:numPr>
        <w:pStyle w:val="Compact"/>
      </w:pPr>
      <w:r>
        <w:rPr>
          <w:bCs/>
          <w:b/>
        </w:rPr>
        <w:t xml:space="preserve">Calculation:</w:t>
      </w:r>
      <w:r>
        <w:t xml:space="preserve"> </w:t>
      </w:r>
      <w:r>
        <w:t xml:space="preserve">182.5 kWh * 0.3 kg CO2e/kWh = 54.75 kg CO2e</w:t>
      </w:r>
    </w:p>
    <w:p>
      <w:pPr>
        <w:pStyle w:val="FirstParagraph"/>
      </w:pPr>
      <w:r>
        <w:rPr>
          <w:bCs/>
          <w:b/>
        </w:rPr>
        <w:t xml:space="preserve">C. End-of-Life (EoL) Emissions:</w:t>
      </w:r>
    </w:p>
    <w:p>
      <w:pPr>
        <w:pStyle w:val="BodyText"/>
      </w:pPr>
      <w:r>
        <w:t xml:space="preserve">This accounts for emissions from the disposal of the product at the end of its life, considering recycling and circular programs.</w:t>
      </w:r>
    </w:p>
    <w:p>
      <w:pPr>
        <w:numPr>
          <w:ilvl w:val="0"/>
          <w:numId w:val="1015"/>
        </w:numPr>
        <w:pStyle w:val="Compact"/>
      </w:pPr>
      <w:r>
        <w:t xml:space="preserve">Recyclability Percentage: 60%</w:t>
      </w:r>
    </w:p>
    <w:p>
      <w:pPr>
        <w:numPr>
          <w:ilvl w:val="0"/>
          <w:numId w:val="1015"/>
        </w:numPr>
        <w:pStyle w:val="Compact"/>
      </w:pPr>
      <w:r>
        <w:t xml:space="preserve">Non-recycled portion = (1 - 0.60) = 0.40</w:t>
      </w:r>
    </w:p>
    <w:p>
      <w:pPr>
        <w:numPr>
          <w:ilvl w:val="0"/>
          <w:numId w:val="1015"/>
        </w:numPr>
        <w:pStyle w:val="Compact"/>
      </w:pPr>
      <w:r>
        <w:t xml:space="preserve">Product Weight: 2.5 kg</w:t>
      </w:r>
    </w:p>
    <w:p>
      <w:pPr>
        <w:numPr>
          <w:ilvl w:val="0"/>
          <w:numId w:val="1015"/>
        </w:numPr>
        <w:pStyle w:val="Compact"/>
      </w:pPr>
      <w:r>
        <w:t xml:space="preserve">EoL Emission Factor (for non-recycled portion): 1.0 kg CO2e/kg</w:t>
      </w:r>
    </w:p>
    <w:p>
      <w:pPr>
        <w:numPr>
          <w:ilvl w:val="0"/>
          <w:numId w:val="1015"/>
        </w:numPr>
        <w:pStyle w:val="Compact"/>
      </w:pPr>
      <w:r>
        <w:rPr>
          <w:bCs/>
          <w:b/>
        </w:rPr>
        <w:t xml:space="preserve">Calculation:</w:t>
      </w:r>
      <w:r>
        <w:t xml:space="preserve"> </w:t>
      </w:r>
      <w:r>
        <w:t xml:space="preserve">2.5 kg * 0.40 * 1.0 kg CO2e/kg = 1.0 kg CO2e</w:t>
      </w:r>
    </w:p>
    <w:p>
      <w:pPr>
        <w:numPr>
          <w:ilvl w:val="0"/>
          <w:numId w:val="1015"/>
        </w:numPr>
        <w:pStyle w:val="Compact"/>
      </w:pPr>
      <w:r>
        <w:t xml:space="preserve">Circular/Take-back Programs: Product refurbishment program. The 60% recyclability/circularity implicitly reduces the EoL burden.</w:t>
      </w:r>
    </w:p>
    <w:p>
      <w:pPr>
        <w:pStyle w:val="FirstParagraph"/>
      </w:pPr>
      <w:r>
        <w:rPr>
          <w:bCs/>
          <w:b/>
        </w:rPr>
        <w:t xml:space="preserve">Total Downstream Emissions (Scope 3): 0.0875 kg CO2e (Downstream Transport) + 54.75 kg CO2e (Use Phase) + 1.0 kg CO2e (EoL) = 55.8375 kg CO2e</w:t>
      </w:r>
    </w:p>
    <w:bookmarkEnd w:id="37"/>
    <w:bookmarkEnd w:id="38"/>
    <w:bookmarkEnd w:id="39"/>
    <w:bookmarkStart w:id="40" w:name="X7c2d53df78b5b6ed56e5e7c08fc8dc2769977b3"/>
    <w:p>
      <w:pPr>
        <w:pStyle w:val="Heading3"/>
      </w:pPr>
      <w:r>
        <w:t xml:space="preserve">3.3. Summary of Product Carbon Footprint (PCF) for pyxvjkdjyh</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functional unit)</w:t>
            </w:r>
          </w:p>
        </w:tc>
      </w:tr>
      <w:tr>
        <w:tc>
          <w:tcPr/>
          <w:p>
            <w:pPr>
              <w:pStyle w:val="Compact"/>
              <w:jc w:val="left"/>
            </w:pPr>
            <w:r>
              <w:t xml:space="preserve">Scope 1 Direct Operations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Purchased Electricity (Production)</w:t>
            </w:r>
          </w:p>
        </w:tc>
        <w:tc>
          <w:tcPr/>
          <w:p>
            <w:pPr>
              <w:pStyle w:val="Compact"/>
              <w:jc w:val="left"/>
            </w:pPr>
            <w:r>
              <w:t xml:space="preserve">Scope 2</w:t>
            </w:r>
          </w:p>
        </w:tc>
        <w:tc>
          <w:tcPr/>
          <w:p>
            <w:pPr>
              <w:pStyle w:val="Compact"/>
              <w:jc w:val="left"/>
            </w:pPr>
            <w:r>
              <w:t xml:space="preserve">0.21</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7.19</w:t>
            </w:r>
          </w:p>
        </w:tc>
      </w:tr>
      <w:tr>
        <w:tc>
          <w:tcPr/>
          <w:p>
            <w:pPr>
              <w:pStyle w:val="Compact"/>
              <w:jc w:val="left"/>
            </w:pPr>
            <w:r>
              <w:t xml:space="preserve">Upstream Transport (Components)</w:t>
            </w:r>
          </w:p>
        </w:tc>
        <w:tc>
          <w:tcPr/>
          <w:p>
            <w:pPr>
              <w:pStyle w:val="Compact"/>
              <w:jc w:val="left"/>
            </w:pPr>
            <w:r>
              <w:t xml:space="preserve">Scope 3 Upstream</w:t>
            </w:r>
          </w:p>
        </w:tc>
        <w:tc>
          <w:tcPr/>
          <w:p>
            <w:pPr>
              <w:pStyle w:val="Compact"/>
              <w:jc w:val="left"/>
            </w:pPr>
            <w:r>
              <w:t xml:space="preserve">0.0375</w:t>
            </w:r>
          </w:p>
        </w:tc>
      </w:tr>
      <w:tr>
        <w:tc>
          <w:tcPr/>
          <w:p>
            <w:pPr>
              <w:pStyle w:val="Compact"/>
              <w:jc w:val="left"/>
            </w:pPr>
            <w:r>
              <w:t xml:space="preserve">Downstream Transport (Factory to Customer)</w:t>
            </w:r>
          </w:p>
        </w:tc>
        <w:tc>
          <w:tcPr/>
          <w:p>
            <w:pPr>
              <w:pStyle w:val="Compact"/>
              <w:jc w:val="left"/>
            </w:pPr>
            <w:r>
              <w:t xml:space="preserve">Scope 3 Downstream</w:t>
            </w:r>
          </w:p>
        </w:tc>
        <w:tc>
          <w:tcPr/>
          <w:p>
            <w:pPr>
              <w:pStyle w:val="Compact"/>
              <w:jc w:val="left"/>
            </w:pPr>
            <w:r>
              <w:t xml:space="preserve">0.0875</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54.75</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1.00</w:t>
            </w:r>
          </w:p>
        </w:tc>
      </w:tr>
      <w:tr>
        <w:tc>
          <w:tcPr>
            <w:gridSpan w:val="2"/>
          </w:tcPr>
          <w:p>
            <w:pPr>
              <w:pStyle w:val="Compact"/>
              <w:jc w:val="left"/>
            </w:pPr>
            <w:r>
              <w:t xml:space="preserve">TOTAL PRODUCT CARBON FOOTPRINT</w:t>
            </w:r>
          </w:p>
        </w:tc>
        <w:tc>
          <w:tcPr/>
          <w:p>
            <w:pPr>
              <w:pStyle w:val="Compact"/>
              <w:jc w:val="left"/>
            </w:pPr>
            <w:r>
              <w:t xml:space="preserve">63.275</w:t>
            </w:r>
          </w:p>
        </w:tc>
      </w:tr>
    </w:tbl>
    <w:p>
      <w:pPr>
        <w:pStyle w:val="BodyText"/>
      </w:pPr>
      <w:r>
        <w:rPr>
          <w:bCs/>
          <w:b/>
        </w:rPr>
        <w:t xml:space="preserve">Total Product Carbon Footprint for pyxvjkdjyh: 63.275 kg CO2e per unit</w:t>
      </w:r>
    </w:p>
    <w:p>
      <w:r>
        <w:pict>
          <v:rect style="width:0;height:1.5pt" o:hralign="center" o:hrstd="t" o:hr="t"/>
        </w:pict>
      </w:r>
    </w:p>
    <w:bookmarkEnd w:id="40"/>
    <w:bookmarkEnd w:id="41"/>
    <w:bookmarkStart w:id="46" w:name="review-report"/>
    <w:p>
      <w:pPr>
        <w:pStyle w:val="Heading2"/>
      </w:pPr>
      <w:r>
        <w:t xml:space="preserve">4. Review &amp; Report</w:t>
      </w:r>
    </w:p>
    <w:bookmarkStart w:id="42" w:name="carbon-hotspots"/>
    <w:p>
      <w:pPr>
        <w:pStyle w:val="Heading3"/>
      </w:pPr>
      <w:r>
        <w:t xml:space="preserve">4.1. Carbon Hotspots</w:t>
      </w:r>
    </w:p>
    <w:p>
      <w:pPr>
        <w:pStyle w:val="FirstParagraph"/>
      </w:pPr>
      <w:r>
        <w:t xml:space="preserve">Based on the calculations, the primary carbon hotspots for \'pyxvjkdjyh\' are:</w:t>
      </w:r>
    </w:p>
    <w:p>
      <w:pPr>
        <w:numPr>
          <w:ilvl w:val="0"/>
          <w:numId w:val="1016"/>
        </w:numPr>
        <w:pStyle w:val="Compact"/>
      </w:pPr>
      <w:r>
        <w:rPr>
          <w:bCs/>
          <w:b/>
        </w:rPr>
        <w:t xml:space="preserve">Use Phase (54.75 kg CO2e):</w:t>
      </w:r>
      <w:r>
        <w:t xml:space="preserve"> </w:t>
      </w:r>
      <w:r>
        <w:t xml:space="preserve">This accounts for approximately 86.5% of the total PCF. The energy consumption during the product\'s 5-year lifespan is the most significant contributor, even with an assumed moderately clean European grid mix. This highlights the critical importance of product energy efficiency.</w:t>
      </w:r>
    </w:p>
    <w:p>
      <w:pPr>
        <w:numPr>
          <w:ilvl w:val="0"/>
          <w:numId w:val="1016"/>
        </w:numPr>
        <w:pStyle w:val="Compact"/>
      </w:pPr>
      <w:r>
        <w:rPr>
          <w:bCs/>
          <w:b/>
        </w:rPr>
        <w:t xml:space="preserve">Materials Acquisition &amp; Pre-processing (7.19 kg CO2e):</w:t>
      </w:r>
      <w:r>
        <w:t xml:space="preserve"> </w:t>
      </w:r>
      <w:r>
        <w:t xml:space="preserve">This represents about 11.4% of the total PCF, primarily driven by the steel casing and circuit board, underscoring the need for sustainable material sourcing and design.</w:t>
      </w:r>
    </w:p>
    <w:p>
      <w:pPr>
        <w:numPr>
          <w:ilvl w:val="0"/>
          <w:numId w:val="1016"/>
        </w:numPr>
        <w:pStyle w:val="Compact"/>
      </w:pPr>
      <w:r>
        <w:rPr>
          <w:bCs/>
          <w:b/>
        </w:rPr>
        <w:t xml:space="preserve">End-of-Life (1.00 kg CO2e):</w:t>
      </w:r>
      <w:r>
        <w:t xml:space="preserve"> </w:t>
      </w:r>
      <w:r>
        <w:t xml:space="preserve">While less significant than the use phase, this still contributes approximately 1.6% and indicates room for improvement in recyclability and circularity beyond the current 60%.</w:t>
      </w:r>
    </w:p>
    <w:p>
      <w:pPr>
        <w:numPr>
          <w:ilvl w:val="0"/>
          <w:numId w:val="1016"/>
        </w:numPr>
        <w:pStyle w:val="Compact"/>
      </w:pPr>
      <w:r>
        <w:t xml:space="preserve">Other stages like production energy and transport contribute relatively smaller percentages due to high renewable energy usage in production and efficient freight modes for long distances.</w:t>
      </w:r>
    </w:p>
    <w:bookmarkEnd w:id="42"/>
    <w:bookmarkStart w:id="43" w:name="reliability-and-limitations"/>
    <w:p>
      <w:pPr>
        <w:pStyle w:val="Heading3"/>
      </w:pPr>
      <w:r>
        <w:t xml:space="preserve">4.2. Reliability and Limitations</w:t>
      </w:r>
    </w:p>
    <w:p>
      <w:pPr>
        <w:pStyle w:val="FirstParagraph"/>
      </w:pPr>
      <w:r>
        <w:t xml:space="preserve">The reliability of this PCF analysis is high due to the use of detailed BOM data and adherence to the GHG Protocol. However, it is subject to the following limitations:</w:t>
      </w:r>
    </w:p>
    <w:p>
      <w:pPr>
        <w:numPr>
          <w:ilvl w:val="0"/>
          <w:numId w:val="1017"/>
        </w:numPr>
        <w:pStyle w:val="Compact"/>
      </w:pPr>
      <w:r>
        <w:rPr>
          <w:bCs/>
          <w:b/>
        </w:rPr>
        <w:t xml:space="preserve">Illustrative Data:</w:t>
      </w:r>
      <w:r>
        <w:t xml:space="preserve"> </w:t>
      </w:r>
      <w:r>
        <w:t xml:space="preserve">Specific values for \'Transport Mode\', \'Transport Distance\', \'Last-Mile Delivery Channel\', \'Renewable Energy Usage\', \'Energy Intensity\', \'Product Lifespan\', \'Energy Consumption in Use\', \'Recyclability Percentage\', and \'Circular/Take-back Programs\' were provided as placeholders. The accuracy of the final PCF depends entirely on the representativeness of these illustrative values.</w:t>
      </w:r>
    </w:p>
    <w:p>
      <w:pPr>
        <w:numPr>
          <w:ilvl w:val="0"/>
          <w:numId w:val="1017"/>
        </w:numPr>
        <w:pStyle w:val="Compact"/>
      </w:pPr>
      <w:r>
        <w:rPr>
          <w:bCs/>
          <w:b/>
        </w:rPr>
        <w:t xml:space="preserve">Generic Emission Factors:</w:t>
      </w:r>
      <w:r>
        <w:t xml:space="preserve"> </w:t>
      </w:r>
      <w:r>
        <w:t xml:space="preserve">Where product-specific or company-specific emission factors were not provided (e.g., for general electricity grids, transport distances beyond specific parameters, or EoL processes), industry-average emission factors (Ecoinvent/DEFRA equivalents) have been used. While standard, these may not perfectly reflect actual operational specifics.</w:t>
      </w:r>
    </w:p>
    <w:p>
      <w:pPr>
        <w:numPr>
          <w:ilvl w:val="0"/>
          <w:numId w:val="1017"/>
        </w:numPr>
        <w:pStyle w:val="Compact"/>
      </w:pPr>
      <w:r>
        <w:rPr>
          <w:bCs/>
          <w:b/>
        </w:rPr>
        <w:t xml:space="preserve">System Boundary Interpretation:</w:t>
      </w:r>
      <w:r>
        <w:t xml:space="preserve"> </w:t>
      </w:r>
      <w:r>
        <w:t xml:space="preserve">While the primary company reporting boundary is \'factory_gate\', the product PCF was expanded to \'Cradle-to-Grave\' to accommodate all specified parameters (Use Phase, EoL). This implies a broader scope than a strict factory-gate corporate inventory.</w:t>
      </w:r>
    </w:p>
    <w:p>
      <w:pPr>
        <w:numPr>
          <w:ilvl w:val="0"/>
          <w:numId w:val="1017"/>
        </w:numPr>
        <w:pStyle w:val="Compact"/>
      </w:pPr>
      <w:r>
        <w:rPr>
          <w:bCs/>
          <w:b/>
        </w:rPr>
        <w:t xml:space="preserve">LSR Standard:</w:t>
      </w:r>
      <w:r>
        <w:t xml:space="preserve"> </w:t>
      </w:r>
      <w:r>
        <w:t xml:space="preserve">The 2026 LSR Standard is conceptually applied. However, without specific land-use change data for each raw material\'s origin, the direct quantification of LSR impacts is limited to a qualitative acknowledgment.</w:t>
      </w:r>
    </w:p>
    <w:bookmarkEnd w:id="43"/>
    <w:bookmarkStart w:id="45" w:name="recommendations-for-reduction"/>
    <w:p>
      <w:pPr>
        <w:pStyle w:val="Heading3"/>
      </w:pPr>
      <w:r>
        <w:t xml:space="preserve">4.3. Recommendations for Reduction</w:t>
      </w:r>
    </w:p>
    <w:p>
      <w:pPr>
        <w:pStyle w:val="FirstParagraph"/>
      </w:pPr>
      <w:r>
        <w:t xml:space="preserve">Based on the hotspot analysis, repfltkqvq should focus on the following to reduce the PCF of \'pyxvjkdjyh\':</w:t>
      </w:r>
    </w:p>
    <w:p>
      <w:pPr>
        <w:numPr>
          <w:ilvl w:val="0"/>
          <w:numId w:val="1018"/>
        </w:numPr>
        <w:pStyle w:val="Compact"/>
      </w:pPr>
      <w:r>
        <w:rPr>
          <w:bCs/>
          <w:b/>
        </w:rPr>
        <w:t xml:space="preserve">Optimize Use Phase Energy Efficiency:</w:t>
      </w:r>
      <w:r>
        <w:t xml:space="preserve"> </w:t>
      </w:r>
      <w:r>
        <w:t xml:space="preserve">This is the most impactful area. Redesigning \'pyxvjkdjyh\' for lower energy consumption during its lifespan or exploring alternative power sources for the end-user (e.g., integration with renewable home energy systems) would yield significant reductions.</w:t>
      </w:r>
    </w:p>
    <w:p>
      <w:pPr>
        <w:numPr>
          <w:ilvl w:val="0"/>
          <w:numId w:val="1018"/>
        </w:numPr>
        <w:pStyle w:val="Compact"/>
      </w:pPr>
      <w:r>
        <w:rPr>
          <w:bCs/>
          <w:b/>
        </w:rPr>
        <w:t xml:space="preserve">Sustainable Material Sourcing:</w:t>
      </w:r>
      <w:r>
        <w:t xml:space="preserve"> </w:t>
      </w:r>
      <w:r>
        <w:t xml:space="preserve">Investigate lower-carbon alternatives for the steel casing and explore suppliers with audited low-impact production processes for electronic components like PCBs.</w:t>
      </w:r>
    </w:p>
    <w:p>
      <w:pPr>
        <w:numPr>
          <w:ilvl w:val="0"/>
          <w:numId w:val="1018"/>
        </w:numPr>
        <w:pStyle w:val="Compact"/>
      </w:pPr>
      <w:r>
        <w:rPr>
          <w:bCs/>
          <w:b/>
        </w:rPr>
        <w:t xml:space="preserve">Enhance Circularity:</w:t>
      </w:r>
      <w:r>
        <w:t xml:space="preserve"> </w:t>
      </w:r>
      <w:r>
        <w:t xml:space="preserve">Increase the recyclability percentage beyond 60% and expand the product refurbishment program. Explore options for material upcycling or robust component reuse to minimize landfill/incineration burdens.</w:t>
      </w:r>
    </w:p>
    <w:p>
      <w:pPr>
        <w:numPr>
          <w:ilvl w:val="0"/>
          <w:numId w:val="1018"/>
        </w:numPr>
        <w:pStyle w:val="Compact"/>
      </w:pPr>
      <w:r>
        <w:rPr>
          <w:bCs/>
          <w:b/>
        </w:rPr>
        <w:t xml:space="preserve">Supply Chain Engagement:</w:t>
      </w:r>
      <w:r>
        <w:t xml:space="preserve"> </w:t>
      </w:r>
      <w:r>
        <w:t xml:space="preserve">Work with suppliers to understand and reduce upstream transport and material processing emissions, particularly for high-impact components.</w:t>
      </w:r>
    </w:p>
    <w:p>
      <w:r>
        <w:pict>
          <v:rect style="width:0;height:1.5pt" o:hralign="center" o:hrstd="t" o:hr="t"/>
        </w:pict>
      </w:r>
    </w:p>
    <w:p>
      <w:pPr>
        <w:pStyle w:val="FirstParagraph"/>
      </w:pPr>
      <w:r>
        <w:t xml:space="preserve">Confidential - Internal Use Only | Page</w:t>
      </w:r>
      <w:r>
        <w:t xml:space="preserve"> </w:t>
      </w:r>
      <w:bookmarkStart w:id="44" w:name="pageNumber"/>
      <w:r>
        <w:t xml:space="preserve">1</w:t>
      </w:r>
      <w:bookmarkEnd w:id="44"/>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pyxvjkdjyh</dc:title>
  <dc:creator/>
  <dc:description>Detailed Product Carbon Footprint (PCF) analysis report for product pyxvjkdjyh, performed by gxwylshtsv for repfltkqvq, adhering to GHG Protocol standards and 2026 LSR updates.</dc:description>
  <dc:language>en</dc:language>
  <cp:keywords/>
  <dcterms:created xsi:type="dcterms:W3CDTF">2026-05-30T18:35:21Z</dcterms:created>
  <dcterms:modified xsi:type="dcterms:W3CDTF">2026-05-30T18:35:21Z</dcterms:modified>
</cp:coreProperties>
</file>

<file path=docProps/custom.xml><?xml version="1.0" encoding="utf-8"?>
<Properties xmlns="http://schemas.openxmlformats.org/officeDocument/2006/custom-properties" xmlns:vt="http://schemas.openxmlformats.org/officeDocument/2006/docPropsVTypes"/>
</file>