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pxygudqgfh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pxygudqgfh</w:t>
      </w:r>
    </w:p>
    <w:p>
      <w:pPr>
        <w:pStyle w:val="BodyText"/>
      </w:pPr>
      <w:r>
        <w:rPr>
          <w:bCs/>
          <w:b/>
        </w:rPr>
        <w:t xml:space="preserve">Company Name:</w:t>
      </w:r>
      <w:r>
        <w:t xml:space="preserve"> </w:t>
      </w:r>
      <w:r>
        <w:t xml:space="preserve">gforqdjkgr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lutxiolput</w:t>
      </w:r>
    </w:p>
    <w:p>
      <w:pPr>
        <w:pStyle w:val="BodyText"/>
      </w:pPr>
      <w:r>
        <w:t xml:space="preserve">This report is generated based on available data and industry standards, including specific parameters provided. While every effort has been made to ensure accuracy within these parameters, some illustrative values and assumptions have been used for emissions factors and certain data points where specific real-world data was not provided or accessible.</w:t>
      </w:r>
    </w:p>
    <w:bookmarkEnd w:id="20"/>
    <w:bookmarkStart w:id="50" w:name="X3c40bdfbe3578f90cad24b26738c70776b3c885"/>
    <w:p>
      <w:pPr>
        <w:pStyle w:val="Heading1"/>
      </w:pPr>
      <w:r>
        <w:t xml:space="preserve">Product Carbon Footprint Analysis for pxygudqgfh</w:t>
      </w:r>
    </w:p>
    <w:p>
      <w:pPr>
        <w:pStyle w:val="FirstParagraph"/>
      </w:pPr>
      <w:r>
        <w:rPr>
          <w:bCs/>
          <w:b/>
        </w:rPr>
        <w:t xml:space="preserve">Generated Date:</w:t>
      </w:r>
      <w:r>
        <w:t xml:space="preserve"> </w:t>
      </w:r>
      <w:r>
        <w:t xml:space="preserve">June 2, 2026</w:t>
      </w:r>
    </w:p>
    <w:p>
      <w:pPr>
        <w:pStyle w:val="BodyText"/>
      </w:pPr>
      <w:r>
        <w:rPr>
          <w:bCs/>
          <w:b/>
        </w:rPr>
        <w:t xml:space="preserve">Senior Sustainability Consultant:</w:t>
      </w:r>
      <w:r>
        <w:t xml:space="preserve"> </w:t>
      </w:r>
      <w:r>
        <w:t xml:space="preserve">lutxiolput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pxygudqgfh, manufactured by gforqdjkgr, conducted by Senior Sustainability Consultant lutxiolput. Adhering strictly to the GHG Protocol and incorporating the 2026 Land Sector and Removals (LSR) Standard, this analysis provides a comprehensive assessment of greenhouse gas emissions across the product\'s lifecycle. The total carbon footprint for one functional unit of pxygudqgfh has been calculated, identifying key hotspots and offering insights for emission reduction strategies.</w:t>
      </w:r>
    </w:p>
    <w:p>
      <w:r>
        <w:pict>
          <v:rect style="width:0;height:1.5pt" o:hralign="center" o:hrstd="t" o:hr="t"/>
        </w:pict>
      </w:r>
    </w:p>
    <w:bookmarkEnd w:id="21"/>
    <w:bookmarkStart w:id="27" w:name="introduction-and-scope-definition"/>
    <w:p>
      <w:pPr>
        <w:pStyle w:val="Heading2"/>
      </w:pPr>
      <w:r>
        <w:t xml:space="preserve">1. Introduction and Scope Definition</w:t>
      </w:r>
    </w:p>
    <w:p>
      <w:pPr>
        <w:pStyle w:val="FirstParagraph"/>
      </w:pPr>
      <w:r>
        <w:t xml:space="preserve">The objective of this analysis is to quantify the total greenhouse gas (GHG) emissions associated with the lifecycle of the product pxygudqgfh. This assessment follows the "cradle-to-gate" approach for the system boundary, extended with downstream phases, as defined by the GHG Protocol.</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pxygudqgfh</w:t>
      </w:r>
      <w:r>
        <w:t xml:space="preserve">. This unit serves as the reference basis for all quantified inputs and outputs.</w:t>
      </w:r>
    </w:p>
    <w:bookmarkEnd w:id="22"/>
    <w:bookmarkStart w:id="23" w:name="system-boundary"/>
    <w:p>
      <w:pPr>
        <w:pStyle w:val="Heading3"/>
      </w:pPr>
      <w:r>
        <w:t xml:space="preserve">1.2 System Boundary</w:t>
      </w:r>
    </w:p>
    <w:p>
      <w:pPr>
        <w:pStyle w:val="FirstParagraph"/>
      </w:pPr>
      <w:r>
        <w:t xml:space="preserve">The system boundary for this PCF analysis is defined as</w:t>
      </w:r>
      <w:r>
        <w:t xml:space="preserve"> </w:t>
      </w:r>
      <w:r>
        <w:rPr>
          <w:bCs/>
          <w:b/>
        </w:rPr>
        <w:t xml:space="preserve">factory_gate</w:t>
      </w:r>
      <w:r>
        <w:t xml:space="preserve">, encompassing all processes from raw material acquisition, pre-processing, and manufacturing, up to the point where the finished product leaves the production facility. Additionally, the analysis extends to cover downstream emissions related to transport, product use, and end-of-life scenarios to provide a more holistic view.</w:t>
      </w:r>
    </w:p>
    <w:bookmarkEnd w:id="23"/>
    <w:bookmarkStart w:id="24" w:name="geographic-scope"/>
    <w:p>
      <w:pPr>
        <w:pStyle w:val="Heading3"/>
      </w:pPr>
      <w:r>
        <w:t xml:space="preserve">1.3 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w:t>
      </w:r>
      <w:r>
        <w:t xml:space="preserve"> </w:t>
      </w:r>
      <w:r>
        <w:t xml:space="preserve">for distribution and use. This geographical scope influences the selection of regional electricity grid emission factors and transport distances.</w:t>
      </w:r>
    </w:p>
    <w:bookmarkEnd w:id="24"/>
    <w:bookmarkStart w:id="25" w:name="accounting-standard"/>
    <w:p>
      <w:pPr>
        <w:pStyle w:val="Heading3"/>
      </w:pPr>
      <w:r>
        <w:t xml:space="preserve">1.4 Accounting Standard</w:t>
      </w:r>
    </w:p>
    <w:p>
      <w:pPr>
        <w:pStyle w:val="FirstParagraph"/>
      </w:pPr>
      <w:r>
        <w:t xml:space="preserve">This Product Carbon Footprint analysis is conducted in full compliance with the</w:t>
      </w:r>
      <w:r>
        <w:t xml:space="preserve"> </w:t>
      </w:r>
      <w:r>
        <w:rPr>
          <w:bCs/>
          <w:b/>
        </w:rPr>
        <w:t xml:space="preserve">GHG Protocol</w:t>
      </w:r>
      <w:r>
        <w:t xml:space="preserve">, ensuring robust categorization of emissions into Scope 1 (direct emissions), Scope 2 (indirect emissions from purchased energy), and Scope 3 (all other indirect emissions within the value chain). The analysis also applies the principles of the 2026 Land Sector and Removals (LSR) Standard, where applicable.</w:t>
      </w:r>
    </w:p>
    <w:bookmarkEnd w:id="25"/>
    <w:bookmarkStart w:id="26" w:name="allocation"/>
    <w:p>
      <w:pPr>
        <w:pStyle w:val="Heading3"/>
      </w:pPr>
      <w:r>
        <w:t xml:space="preserve">1.5 Allocation</w:t>
      </w:r>
    </w:p>
    <w:p>
      <w:pPr>
        <w:pStyle w:val="FirstParagraph"/>
      </w:pPr>
      <w:r>
        <w:t xml:space="preserve">Allocation of emissions for co-products or by-products follows mass-based allocation rules where specific data is unavailable for economic or other physically-based allocations, in line with GHG Protocol recommendations.</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pxygudqgfh has been mapped into distinct stages, enabling a structured approach to data collection and emission calculation.</w:t>
      </w:r>
    </w:p>
    <w:bookmarkStart w:id="28" w:name="materials-acquisition-pre-processing"/>
    <w:p>
      <w:pPr>
        <w:pStyle w:val="Heading3"/>
      </w:pPr>
      <w:r>
        <w:t xml:space="preserve">2.1 Materials Acquisition &amp; Pre-processing</w:t>
      </w:r>
    </w:p>
    <w:p>
      <w:pPr>
        <w:pStyle w:val="FirstParagraph"/>
      </w:pPr>
      <w:r>
        <w:t xml:space="preserve">This stage includes the extraction, processing, and manufacturing of all raw materials and components listed in the Detailed Bill of Materials (BOM: rrvhfxol) required for pxygudqgfh.</w:t>
      </w:r>
    </w:p>
    <w:bookmarkEnd w:id="28"/>
    <w:bookmarkStart w:id="29" w:name="manufacturing-production-phase"/>
    <w:p>
      <w:pPr>
        <w:pStyle w:val="Heading3"/>
      </w:pPr>
      <w:r>
        <w:t xml:space="preserve">2.2 Manufacturing (Production Phase)</w:t>
      </w:r>
    </w:p>
    <w:p>
      <w:pPr>
        <w:pStyle w:val="FirstParagraph"/>
      </w:pPr>
      <w:r>
        <w:t xml:space="preserve">Encompasses all activities at the gforqdjkgr production facility in China, including energy consumption (electricity and direct fuel use), and any on-site chemical reactions or physical processes.</w:t>
      </w:r>
    </w:p>
    <w:bookmarkEnd w:id="29"/>
    <w:bookmarkStart w:id="30" w:name="transport-logistics"/>
    <w:p>
      <w:pPr>
        <w:pStyle w:val="Heading3"/>
      </w:pPr>
      <w:r>
        <w:t xml:space="preserve">2.3 Transport (Logistics)</w:t>
      </w:r>
    </w:p>
    <w:p>
      <w:pPr>
        <w:pStyle w:val="FirstParagraph"/>
      </w:pPr>
      <w:r>
        <w:t xml:space="preserve">This covers both upstream transport (from material suppliers to the manufacturing plant) and downstream transport (from the factory gate to the customer, including last-mile delivery).</w:t>
      </w:r>
    </w:p>
    <w:bookmarkEnd w:id="30"/>
    <w:bookmarkStart w:id="31" w:name="use-phase"/>
    <w:p>
      <w:pPr>
        <w:pStyle w:val="Heading3"/>
      </w:pPr>
      <w:r>
        <w:t xml:space="preserve">2.4 Use Phase</w:t>
      </w:r>
    </w:p>
    <w:p>
      <w:pPr>
        <w:pStyle w:val="FirstParagraph"/>
      </w:pPr>
      <w:r>
        <w:t xml:space="preserve">Accounts for the energy consumption during the typical lifespan of pxygudqgfh by the end-user, based on its stated product lifespan and energy consumption in use.</w:t>
      </w:r>
    </w:p>
    <w:bookmarkEnd w:id="31"/>
    <w:bookmarkStart w:id="32" w:name="end-of-life-eol"/>
    <w:p>
      <w:pPr>
        <w:pStyle w:val="Heading3"/>
      </w:pPr>
      <w:r>
        <w:t xml:space="preserve">2.5 End-of-Life (EoL)</w:t>
      </w:r>
    </w:p>
    <w:p>
      <w:pPr>
        <w:pStyle w:val="FirstParagraph"/>
      </w:pPr>
      <w:r>
        <w:t xml:space="preserve">Addresses emissions and potential credits associated with the disposal, recycling, or recovery of pxygudqgfh at the end of its useful life, considering the recyclability percentage and circular/take-back programs.</w:t>
      </w:r>
    </w:p>
    <w:p>
      <w:r>
        <w:pict>
          <v:rect style="width:0;height:1.5pt" o:hralign="center" o:hrstd="t" o:hr="t"/>
        </w:pict>
      </w:r>
    </w:p>
    <w:bookmarkEnd w:id="32"/>
    <w:bookmarkEnd w:id="33"/>
    <w:bookmarkStart w:id="36" w:name="X7b6d01ce7b6bfe45f00681616505557cddf238f"/>
    <w:p>
      <w:pPr>
        <w:pStyle w:val="Heading2"/>
      </w:pPr>
      <w:r>
        <w:t xml:space="preserve">3. Data Collection (Primary/Secondary Data Points)</w:t>
      </w:r>
    </w:p>
    <w:p>
      <w:pPr>
        <w:pStyle w:val="FirstParagraph"/>
      </w:pPr>
      <w:r>
        <w:t xml:space="preserve">Both primary and secondary data sources were utilized for this analysis to ensure a high level of detail and accuracy within the given parameters.</w:t>
      </w:r>
    </w:p>
    <w:bookmarkStart w:id="34" w:name="primary-data"/>
    <w:p>
      <w:pPr>
        <w:pStyle w:val="Heading3"/>
      </w:pPr>
      <w:r>
        <w:t xml:space="preserve">3.1 Primary Data</w:t>
      </w:r>
    </w:p>
    <w:p>
      <w:pPr>
        <w:numPr>
          <w:ilvl w:val="0"/>
          <w:numId w:val="1001"/>
        </w:numPr>
        <w:pStyle w:val="Compact"/>
      </w:pPr>
      <w:r>
        <w:rPr>
          <w:bCs/>
          <w:b/>
        </w:rPr>
        <w:t xml:space="preserve">Detailed Bill of Materials (BOM): rrvhfxol</w:t>
      </w:r>
      <w:r>
        <w:br/>
      </w:r>
      <w:r>
        <w:t xml:space="preserve">The following table details the materials, quantities, and their associated pre-calculated carbon impacts as provided:</w:t>
      </w:r>
    </w:p>
    <w:tbl>
      <w:tblPr>
        <w:tblStyle w:val="Table"/>
        <w:tblW w:type="auto" w:w="0"/>
        <w:tblLook w:firstRow="1" w:lastRow="0" w:firstColumn="0" w:lastColumn="0" w:noHBand="0" w:noVBand="0" w:val="0020"/>
        <w:jc w:val="start"/>
        <w:tblInd w:w="720" w:type="dxa"/>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MAT002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MAT005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0.075</w:t>
            </w:r>
          </w:p>
        </w:tc>
      </w:tr>
    </w:tbl>
    <w:p>
      <w:pPr>
        <w:numPr>
          <w:ilvl w:val="0"/>
          <w:numId w:val="1001"/>
        </w:numPr>
        <w:pStyle w:val="Compact"/>
      </w:pPr>
      <w:r>
        <w:rPr>
          <w:bCs/>
          <w:b/>
        </w:rPr>
        <w:t xml:space="preserve">Production Energy Data:</w:t>
      </w:r>
    </w:p>
    <w:p>
      <w:pPr>
        <w:numPr>
          <w:ilvl w:val="1"/>
          <w:numId w:val="1002"/>
        </w:numPr>
        <w:pStyle w:val="Compact"/>
      </w:pPr>
      <w:r>
        <w:t xml:space="preserve">Energy Intensity (kWh/unit): uwgkmxldvx (20 kWh/unit)</w:t>
      </w:r>
    </w:p>
    <w:p>
      <w:pPr>
        <w:numPr>
          <w:ilvl w:val="1"/>
          <w:numId w:val="1002"/>
        </w:numPr>
        <w:pStyle w:val="Compact"/>
      </w:pPr>
      <w:r>
        <w:t xml:space="preserve">Renewable Energy Usage: exposmxldf (60%)</w:t>
      </w:r>
    </w:p>
    <w:p>
      <w:pPr>
        <w:numPr>
          <w:ilvl w:val="0"/>
          <w:numId w:val="1001"/>
        </w:numPr>
        <w:pStyle w:val="Compact"/>
      </w:pPr>
      <w:r>
        <w:rPr>
          <w:bCs/>
          <w:b/>
        </w:rPr>
        <w:t xml:space="preserve">Logistics Data:</w:t>
      </w:r>
    </w:p>
    <w:p>
      <w:pPr>
        <w:numPr>
          <w:ilvl w:val="1"/>
          <w:numId w:val="1003"/>
        </w:numPr>
        <w:pStyle w:val="Compact"/>
      </w:pPr>
      <w:r>
        <w:t xml:space="preserve">Transport Mode: Select Mode (Multi-modal: Sea Freight, Road Freight)</w:t>
      </w:r>
    </w:p>
    <w:p>
      <w:pPr>
        <w:numPr>
          <w:ilvl w:val="1"/>
          <w:numId w:val="1003"/>
        </w:numPr>
        <w:pStyle w:val="Compact"/>
      </w:pPr>
      <w:r>
        <w:t xml:space="preserve">Transport Distance: nxvrvwowdv (15,550 km) - assumed breakdown: 15,000 km Sea Freight, 500 km Road Freight</w:t>
      </w:r>
    </w:p>
    <w:p>
      <w:pPr>
        <w:numPr>
          <w:ilvl w:val="1"/>
          <w:numId w:val="1003"/>
        </w:numPr>
        <w:pStyle w:val="Compact"/>
      </w:pPr>
      <w:r>
        <w:t xml:space="preserve">Last-Mile Delivery Channel: Delivery Type (Light Commercial Van) - assumed distance: 50 km</w:t>
      </w:r>
    </w:p>
    <w:p>
      <w:pPr>
        <w:numPr>
          <w:ilvl w:val="0"/>
          <w:numId w:val="1001"/>
        </w:numPr>
        <w:pStyle w:val="Compact"/>
      </w:pPr>
      <w:r>
        <w:rPr>
          <w:bCs/>
          <w:b/>
        </w:rPr>
        <w:t xml:space="preserve">Use Phase Data:</w:t>
      </w:r>
    </w:p>
    <w:p>
      <w:pPr>
        <w:numPr>
          <w:ilvl w:val="1"/>
          <w:numId w:val="1004"/>
        </w:numPr>
        <w:pStyle w:val="Compact"/>
      </w:pPr>
      <w:r>
        <w:t xml:space="preserve">Product Lifespan: shlziysrdd (7 years)</w:t>
      </w:r>
    </w:p>
    <w:p>
      <w:pPr>
        <w:numPr>
          <w:ilvl w:val="1"/>
          <w:numId w:val="1004"/>
        </w:numPr>
        <w:pStyle w:val="Compact"/>
      </w:pPr>
      <w:r>
        <w:t xml:space="preserve">Energy Consumption in Use: kzqyvdjmuj (12 kWh/year)</w:t>
      </w:r>
    </w:p>
    <w:p>
      <w:pPr>
        <w:numPr>
          <w:ilvl w:val="0"/>
          <w:numId w:val="1001"/>
        </w:numPr>
        <w:pStyle w:val="Compact"/>
      </w:pPr>
      <w:r>
        <w:rPr>
          <w:bCs/>
          <w:b/>
        </w:rPr>
        <w:t xml:space="preserve">End-of-Life Data:</w:t>
      </w:r>
    </w:p>
    <w:p>
      <w:pPr>
        <w:numPr>
          <w:ilvl w:val="1"/>
          <w:numId w:val="1005"/>
        </w:numPr>
        <w:pStyle w:val="Compact"/>
      </w:pPr>
      <w:r>
        <w:t xml:space="preserve">Recyclability Percentage: oupfhyjiof (85%)</w:t>
      </w:r>
    </w:p>
    <w:p>
      <w:pPr>
        <w:numPr>
          <w:ilvl w:val="1"/>
          <w:numId w:val="1005"/>
        </w:numPr>
        <w:pStyle w:val="Compact"/>
      </w:pPr>
      <w:r>
        <w:t xml:space="preserve">Circular/Take-back Programs: kwvefgslvy (Comprehensive take-back and refurbishment program in place for 30% of end-of-life products.)</w:t>
      </w:r>
    </w:p>
    <w:bookmarkEnd w:id="34"/>
    <w:bookmarkStart w:id="35" w:name="secondary-data"/>
    <w:p>
      <w:pPr>
        <w:pStyle w:val="Heading3"/>
      </w:pPr>
      <w:r>
        <w:t xml:space="preserve">3.2 Secondary Data</w:t>
      </w:r>
    </w:p>
    <w:p>
      <w:pPr>
        <w:pStyle w:val="FirstParagraph"/>
      </w:pPr>
      <w:r>
        <w:t xml:space="preserve">Industry-standard emission factors were utilized for processes where primary data was not available or where a general factor provided sufficient accuracy. These factors are typically sourced from recognized databases such as Ecoinvent and DEFRA. For this analysis, illustrative emission factors have been applied to demonstrate the calculation methodology.</w:t>
      </w:r>
    </w:p>
    <w:p>
      <w:pPr>
        <w:numPr>
          <w:ilvl w:val="0"/>
          <w:numId w:val="1006"/>
        </w:numPr>
        <w:pStyle w:val="Compact"/>
      </w:pPr>
      <w:r>
        <w:t xml:space="preserve">China Electricity Grid Emission Factor: 0.6 kg CO2e/kWh (Illustrative)</w:t>
      </w:r>
    </w:p>
    <w:p>
      <w:pPr>
        <w:numPr>
          <w:ilvl w:val="0"/>
          <w:numId w:val="1006"/>
        </w:numPr>
        <w:pStyle w:val="Compact"/>
      </w:pPr>
      <w:r>
        <w:t xml:space="preserve">European Electricity Grid Emission Factor (average): 0.25 kg CO2e/kWh (Illustrative)</w:t>
      </w:r>
    </w:p>
    <w:p>
      <w:pPr>
        <w:numPr>
          <w:ilvl w:val="0"/>
          <w:numId w:val="1006"/>
        </w:numPr>
        <w:pStyle w:val="Compact"/>
      </w:pPr>
      <w:r>
        <w:t xml:space="preserve">Sea Freight Emission Factor: 0.01 kg CO2e/tonne-km (Illustrative)</w:t>
      </w:r>
    </w:p>
    <w:p>
      <w:pPr>
        <w:numPr>
          <w:ilvl w:val="0"/>
          <w:numId w:val="1006"/>
        </w:numPr>
        <w:pStyle w:val="Compact"/>
      </w:pPr>
      <w:r>
        <w:t xml:space="preserve">Road Freight Emission Factor: 0.1 kg CO2e/tonne-km (Illustrative)</w:t>
      </w:r>
    </w:p>
    <w:p>
      <w:pPr>
        <w:numPr>
          <w:ilvl w:val="0"/>
          <w:numId w:val="1006"/>
        </w:numPr>
        <w:pStyle w:val="Compact"/>
      </w:pPr>
      <w:r>
        <w:t xml:space="preserve">Light Commercial Van Last-Mile Delivery Factor: 0.2 kg CO2e/km (Illustrative, per-product share assumed for calculation)</w:t>
      </w:r>
    </w:p>
    <w:p>
      <w:pPr>
        <w:numPr>
          <w:ilvl w:val="0"/>
          <w:numId w:val="1006"/>
        </w:numPr>
        <w:pStyle w:val="Compact"/>
      </w:pPr>
      <w:r>
        <w:t xml:space="preserve">End-of-Life (Landfill/Incineration): 1.5 kg CO2e/kg (Illustrative)</w:t>
      </w:r>
    </w:p>
    <w:p>
      <w:pPr>
        <w:numPr>
          <w:ilvl w:val="0"/>
          <w:numId w:val="1006"/>
        </w:numPr>
        <w:pStyle w:val="Compact"/>
      </w:pPr>
      <w:r>
        <w:t xml:space="preserve">Recycling Avoided Emissions Factor: 0.5 (Illustrative percentage of virgin material emissions avoided)</w:t>
      </w:r>
    </w:p>
    <w:p>
      <w:r>
        <w:pict>
          <v:rect style="width:0;height:1.5pt" o:hralign="center" o:hrstd="t" o:hr="t"/>
        </w:pict>
      </w:r>
    </w:p>
    <w:bookmarkEnd w:id="35"/>
    <w:bookmarkEnd w:id="36"/>
    <w:bookmarkStart w:id="42" w:name="X439a6e6dcb43c636bf515ffaf3f59bce0bd6490"/>
    <w:p>
      <w:pPr>
        <w:pStyle w:val="Heading2"/>
      </w:pPr>
      <w:r>
        <w:t xml:space="preserve">4. Emission Calculation (Activity * Emission Factor = CO2e)</w:t>
      </w:r>
    </w:p>
    <w:p>
      <w:pPr>
        <w:pStyle w:val="FirstParagraph"/>
      </w:pPr>
      <w:r>
        <w:t xml:space="preserve">The total Product Carbon Footprint (PCF) for one functional unit of pxygudqgfh is calculated by summing the emissions from each lifecycle stage, categorized according to the GHG Protocol\'s Scope 1, 2, and 3.</w:t>
      </w:r>
    </w:p>
    <w:bookmarkStart w:id="37" w:name="Xa124a95b981c370289279a4b723120ad8e79cc2"/>
    <w:p>
      <w:pPr>
        <w:pStyle w:val="Heading3"/>
      </w:pPr>
      <w:r>
        <w:t xml:space="preserve">4.1 Materials Acquisition &amp; Pre-processing (Scope 3 - Upstream)</w:t>
      </w:r>
    </w:p>
    <w:p>
      <w:pPr>
        <w:pStyle w:val="FirstParagraph"/>
      </w:pPr>
      <w:r>
        <w:t xml:space="preserve">Emissions from material production are directly taken from the \'Total Carbon\' column provided in the Detailed BOM (rrvhfxol).</w:t>
      </w:r>
    </w:p>
    <w:p>
      <w:pPr>
        <w:numPr>
          <w:ilvl w:val="0"/>
          <w:numId w:val="1007"/>
        </w:numPr>
        <w:pStyle w:val="Compact"/>
      </w:pPr>
      <w:r>
        <w:t xml:space="preserve">Total Material Emissions = 1.75 + 2.40 + 0.20 + 0.80 + 0.075 =</w:t>
      </w:r>
      <w:r>
        <w:t xml:space="preserve"> </w:t>
      </w:r>
      <w:r>
        <w:rPr>
          <w:bCs/>
          <w:b/>
        </w:rPr>
        <w:t xml:space="preserve">5.225 kg CO2e</w:t>
      </w:r>
    </w:p>
    <w:bookmarkEnd w:id="37"/>
    <w:bookmarkStart w:id="38" w:name="Xbc11770f3cbc3ae7603f804db62305f6471163f"/>
    <w:p>
      <w:pPr>
        <w:pStyle w:val="Heading3"/>
      </w:pPr>
      <w:r>
        <w:t xml:space="preserve">4.2 Manufacturing (Production Phase - Scope 1 &amp; 2)</w:t>
      </w:r>
    </w:p>
    <w:p>
      <w:pPr>
        <w:pStyle w:val="FirstParagraph"/>
      </w:pPr>
      <w:r>
        <w:t xml:space="preserve">Emissions from the manufacturing phase include direct emissions (Scope 1) and indirect emissions from purchased electricity (Scope 2).</w:t>
      </w:r>
    </w:p>
    <w:p>
      <w:pPr>
        <w:numPr>
          <w:ilvl w:val="0"/>
          <w:numId w:val="1008"/>
        </w:numPr>
        <w:pStyle w:val="Compact"/>
      </w:pPr>
      <w:r>
        <w:t xml:space="preserve">Energy Intensity (uwgkmxldvx): 20 kWh/unit</w:t>
      </w:r>
    </w:p>
    <w:p>
      <w:pPr>
        <w:numPr>
          <w:ilvl w:val="0"/>
          <w:numId w:val="1008"/>
        </w:numPr>
        <w:pStyle w:val="Compact"/>
      </w:pPr>
      <w:r>
        <w:t xml:space="preserve">Renewable Energy Usage (exposmxldf): 60%</w:t>
      </w:r>
    </w:p>
    <w:p>
      <w:pPr>
        <w:numPr>
          <w:ilvl w:val="0"/>
          <w:numId w:val="1008"/>
        </w:numPr>
        <w:pStyle w:val="Compact"/>
      </w:pPr>
      <w:r>
        <w:t xml:space="preserve">Non-renewable electricity consumed = 20 kWh/unit * (1 - 0.60) = 8 kWh/unit</w:t>
      </w:r>
    </w:p>
    <w:p>
      <w:pPr>
        <w:numPr>
          <w:ilvl w:val="0"/>
          <w:numId w:val="1008"/>
        </w:numPr>
        <w:pStyle w:val="Compact"/>
      </w:pPr>
      <w:r>
        <w:t xml:space="preserve">China Grid Emission Factor = 0.6 kg CO2e/kWh</w:t>
      </w:r>
    </w:p>
    <w:p>
      <w:pPr>
        <w:numPr>
          <w:ilvl w:val="0"/>
          <w:numId w:val="1008"/>
        </w:numPr>
        <w:pStyle w:val="Compact"/>
      </w:pPr>
      <w:r>
        <w:rPr>
          <w:bCs/>
          <w:b/>
        </w:rPr>
        <w:t xml:space="preserve">Scope 2 Emissions (Electricity)</w:t>
      </w:r>
      <w:r>
        <w:t xml:space="preserve"> </w:t>
      </w:r>
      <w:r>
        <w:t xml:space="preserve">= 8 kWh/unit * 0.6 kg CO2e/kWh =</w:t>
      </w:r>
      <w:r>
        <w:t xml:space="preserve"> </w:t>
      </w:r>
      <w:r>
        <w:rPr>
          <w:bCs/>
          <w:b/>
        </w:rPr>
        <w:t xml:space="preserve">4.8 kg CO2e/unit</w:t>
      </w:r>
    </w:p>
    <w:p>
      <w:pPr>
        <w:numPr>
          <w:ilvl w:val="0"/>
          <w:numId w:val="1008"/>
        </w:numPr>
        <w:pStyle w:val="Compact"/>
      </w:pPr>
      <w:r>
        <w:rPr>
          <w:bCs/>
          <w:b/>
        </w:rPr>
        <w:t xml:space="preserve">Scope 1 Emissions (Direct, e.g., minor on-site fuel combustion)</w:t>
      </w:r>
      <w:r>
        <w:t xml:space="preserve">:</w:t>
      </w:r>
      <w:r>
        <w:t xml:space="preserve"> </w:t>
      </w:r>
      <w:r>
        <w:rPr>
          <w:bCs/>
          <w:b/>
        </w:rPr>
        <w:t xml:space="preserve">0.1 kg CO2e/unit</w:t>
      </w:r>
      <w:r>
        <w:t xml:space="preserve"> </w:t>
      </w:r>
      <w:r>
        <w:t xml:space="preserve">(illustrative estimate, as specific direct fuel use was not provided).</w:t>
      </w:r>
    </w:p>
    <w:p>
      <w:pPr>
        <w:numPr>
          <w:ilvl w:val="0"/>
          <w:numId w:val="1008"/>
        </w:numPr>
        <w:pStyle w:val="Compact"/>
      </w:pPr>
      <w:r>
        <w:t xml:space="preserve">Total Manufacturing Emissions = 4.8 + 0.1 =</w:t>
      </w:r>
      <w:r>
        <w:t xml:space="preserve"> </w:t>
      </w:r>
      <w:r>
        <w:rPr>
          <w:bCs/>
          <w:b/>
        </w:rPr>
        <w:t xml:space="preserve">4.9 kg CO2e/unit</w:t>
      </w:r>
    </w:p>
    <w:bookmarkEnd w:id="38"/>
    <w:bookmarkStart w:id="39" w:name="transport-scope-3---downstream"/>
    <w:p>
      <w:pPr>
        <w:pStyle w:val="Heading3"/>
      </w:pPr>
      <w:r>
        <w:t xml:space="preserve">4.3 Transport (Scope 3 - Downstream)</w:t>
      </w:r>
    </w:p>
    <w:p>
      <w:pPr>
        <w:pStyle w:val="FirstParagraph"/>
      </w:pPr>
      <w:r>
        <w:t xml:space="preserve">Emissions from transporting the finished product from the factory in China to the consumer in Europe, including last-mile delivery. The product weight is calculated as the sum of BOM quantities (1.0 kg).</w:t>
      </w:r>
    </w:p>
    <w:p>
      <w:pPr>
        <w:numPr>
          <w:ilvl w:val="0"/>
          <w:numId w:val="1009"/>
        </w:numPr>
        <w:pStyle w:val="Compact"/>
      </w:pPr>
      <w:r>
        <w:t xml:space="preserve">Sea Freight (15,000 km, China to Europe): 1.0 kg * 15,000 km * 0.01 kg CO2e/tonne-km (0.00001 kg CO2e/kg.km) =</w:t>
      </w:r>
      <w:r>
        <w:t xml:space="preserve"> </w:t>
      </w:r>
      <w:r>
        <w:rPr>
          <w:bCs/>
          <w:b/>
        </w:rPr>
        <w:t xml:space="preserve">0.15 kg CO2e/unit</w:t>
      </w:r>
    </w:p>
    <w:p>
      <w:pPr>
        <w:numPr>
          <w:ilvl w:val="0"/>
          <w:numId w:val="1009"/>
        </w:numPr>
        <w:pStyle w:val="Compact"/>
      </w:pPr>
      <w:r>
        <w:t xml:space="preserve">Road Freight (500 km, within Europe): 1.0 kg * 500 km * 0.1 kg CO2e/tonne-km (0.0001 kg CO2e/kg.km) =</w:t>
      </w:r>
      <w:r>
        <w:t xml:space="preserve"> </w:t>
      </w:r>
      <w:r>
        <w:rPr>
          <w:bCs/>
          <w:b/>
        </w:rPr>
        <w:t xml:space="preserve">0.05 kg CO2e/unit</w:t>
      </w:r>
    </w:p>
    <w:p>
      <w:pPr>
        <w:numPr>
          <w:ilvl w:val="0"/>
          <w:numId w:val="1009"/>
        </w:numPr>
        <w:pStyle w:val="Compact"/>
      </w:pPr>
      <w:r>
        <w:t xml:space="preserve">Last-Mile Delivery (50 km, Light Commercial Van): 50 km * (0.2 kg CO2e/km / assumed 100 units per van load) =</w:t>
      </w:r>
      <w:r>
        <w:t xml:space="preserve"> </w:t>
      </w:r>
      <w:r>
        <w:rPr>
          <w:bCs/>
          <w:b/>
        </w:rPr>
        <w:t xml:space="preserve">0.1 kg CO2e/unit</w:t>
      </w:r>
    </w:p>
    <w:p>
      <w:pPr>
        <w:numPr>
          <w:ilvl w:val="0"/>
          <w:numId w:val="1009"/>
        </w:numPr>
        <w:pStyle w:val="Compact"/>
      </w:pPr>
      <w:r>
        <w:t xml:space="preserve">Total Transport Emissions (Downstream) = 0.15 + 0.05 + 0.1 =</w:t>
      </w:r>
      <w:r>
        <w:t xml:space="preserve"> </w:t>
      </w:r>
      <w:r>
        <w:rPr>
          <w:bCs/>
          <w:b/>
        </w:rPr>
        <w:t xml:space="preserve">0.3 kg CO2e/unit</w:t>
      </w:r>
    </w:p>
    <w:bookmarkEnd w:id="39"/>
    <w:bookmarkStart w:id="40" w:name="use-phase-scope-3---downstream"/>
    <w:p>
      <w:pPr>
        <w:pStyle w:val="Heading3"/>
      </w:pPr>
      <w:r>
        <w:t xml:space="preserve">4.4 Use Phase (Scope 3 - Downstream)</w:t>
      </w:r>
    </w:p>
    <w:p>
      <w:pPr>
        <w:pStyle w:val="FirstParagraph"/>
      </w:pPr>
      <w:r>
        <w:t xml:space="preserve">Emissions generated during the product\'s lifespan due to its energy consumption.</w:t>
      </w:r>
    </w:p>
    <w:p>
      <w:pPr>
        <w:numPr>
          <w:ilvl w:val="0"/>
          <w:numId w:val="1010"/>
        </w:numPr>
        <w:pStyle w:val="Compact"/>
      </w:pPr>
      <w:r>
        <w:t xml:space="preserve">Product Lifespan (shlziysrdd): 7 years</w:t>
      </w:r>
    </w:p>
    <w:p>
      <w:pPr>
        <w:numPr>
          <w:ilvl w:val="0"/>
          <w:numId w:val="1010"/>
        </w:numPr>
        <w:pStyle w:val="Compact"/>
      </w:pPr>
      <w:r>
        <w:t xml:space="preserve">Energy Consumption in Use (kzqyvdjmuj): 12 kWh/year</w:t>
      </w:r>
    </w:p>
    <w:p>
      <w:pPr>
        <w:numPr>
          <w:ilvl w:val="0"/>
          <w:numId w:val="1010"/>
        </w:numPr>
        <w:pStyle w:val="Compact"/>
      </w:pPr>
      <w:r>
        <w:t xml:space="preserve">Total Energy in Use = 12 kWh/year * 7 years = 84 kWh/unit</w:t>
      </w:r>
    </w:p>
    <w:p>
      <w:pPr>
        <w:numPr>
          <w:ilvl w:val="0"/>
          <w:numId w:val="1010"/>
        </w:numPr>
        <w:pStyle w:val="Compact"/>
      </w:pPr>
      <w:r>
        <w:t xml:space="preserve">European Grid Emission Factor (average) = 0.25 kg CO2e/kWh</w:t>
      </w:r>
    </w:p>
    <w:p>
      <w:pPr>
        <w:numPr>
          <w:ilvl w:val="0"/>
          <w:numId w:val="1010"/>
        </w:numPr>
        <w:pStyle w:val="Compact"/>
      </w:pPr>
      <w:r>
        <w:t xml:space="preserve">Use Phase Emissions = 84 kWh/unit * 0.25 kg CO2e/kWh =</w:t>
      </w:r>
      <w:r>
        <w:t xml:space="preserve"> </w:t>
      </w:r>
      <w:r>
        <w:rPr>
          <w:bCs/>
          <w:b/>
        </w:rPr>
        <w:t xml:space="preserve">21.0 kg CO2e/unit</w:t>
      </w:r>
    </w:p>
    <w:bookmarkEnd w:id="40"/>
    <w:bookmarkStart w:id="41" w:name="end-of-life-eol---scope-3---downstream"/>
    <w:p>
      <w:pPr>
        <w:pStyle w:val="Heading3"/>
      </w:pPr>
      <w:r>
        <w:t xml:space="preserve">4.5 End-of-Life (EoL - Scope 3 - Downstream)</w:t>
      </w:r>
    </w:p>
    <w:p>
      <w:pPr>
        <w:pStyle w:val="FirstParagraph"/>
      </w:pPr>
      <w:r>
        <w:t xml:space="preserve">Emissions and potential credits associated with the product\'s end-of-life treatment, considering recyclability and circular economy programs.</w:t>
      </w:r>
    </w:p>
    <w:p>
      <w:pPr>
        <w:numPr>
          <w:ilvl w:val="0"/>
          <w:numId w:val="1011"/>
        </w:numPr>
        <w:pStyle w:val="Compact"/>
      </w:pPr>
      <w:r>
        <w:t xml:space="preserve">Recyclability Percentage (oupfhyjiof): 85%</w:t>
      </w:r>
    </w:p>
    <w:p>
      <w:pPr>
        <w:numPr>
          <w:ilvl w:val="0"/>
          <w:numId w:val="1011"/>
        </w:numPr>
        <w:pStyle w:val="Compact"/>
      </w:pPr>
      <w:r>
        <w:t xml:space="preserve">Non-recycled portion: 15% (assumed landfilled/incinerated)</w:t>
      </w:r>
    </w:p>
    <w:p>
      <w:pPr>
        <w:numPr>
          <w:ilvl w:val="0"/>
          <w:numId w:val="1011"/>
        </w:numPr>
        <w:pStyle w:val="Compact"/>
      </w:pPr>
      <w:r>
        <w:t xml:space="preserve">Emissions from non-recycled portion = (0.15 * 1.0 kg product weight) * 1.5 kg CO2e/kg (EoL factor) =</w:t>
      </w:r>
      <w:r>
        <w:t xml:space="preserve"> </w:t>
      </w:r>
      <w:r>
        <w:rPr>
          <w:bCs/>
          <w:b/>
        </w:rPr>
        <w:t xml:space="preserve">0.225 kg CO2e/unit</w:t>
      </w:r>
    </w:p>
    <w:p>
      <w:pPr>
        <w:numPr>
          <w:ilvl w:val="0"/>
          <w:numId w:val="1011"/>
        </w:numPr>
        <w:pStyle w:val="Compact"/>
      </w:pPr>
      <w:r>
        <w:t xml:space="preserve">Avoided emissions from recycling: Given 85% recyclability, a credit is applied for avoiding virgin material production. A simplified credit of 50% of the material\'s virgin production emissions for the recycled portion is applied.</w:t>
      </w:r>
      <w:r>
        <w:t xml:space="preserve"> </w:t>
      </w:r>
      <w:r>
        <w:t xml:space="preserve">* Credit for recycling = - (0.85 * 5.225 kg CO2e (virgin material emissions)) * 0.5 (avoidance factor) =</w:t>
      </w:r>
      <w:r>
        <w:t xml:space="preserve"> </w:t>
      </w:r>
      <w:r>
        <w:rPr>
          <w:bCs/>
          <w:b/>
        </w:rPr>
        <w:t xml:space="preserve">-2.22 kg CO2e/unit</w:t>
      </w:r>
    </w:p>
    <w:p>
      <w:pPr>
        <w:numPr>
          <w:ilvl w:val="0"/>
          <w:numId w:val="1011"/>
        </w:numPr>
        <w:pStyle w:val="Compact"/>
      </w:pPr>
      <w:r>
        <w:t xml:space="preserve">Circular/Take-back Programs (kwvefgslvy): The "Comprehensive take-back and refurbishment program in place for 30% of end-of-life products" further contributes to circularity by extending product life and avoiding new production, leading to additional avoided emissions not explicitly quantified here due to data limitations, but recognized as a significant positive impact.</w:t>
      </w:r>
    </w:p>
    <w:p>
      <w:pPr>
        <w:numPr>
          <w:ilvl w:val="0"/>
          <w:numId w:val="1011"/>
        </w:numPr>
        <w:pStyle w:val="Compact"/>
      </w:pPr>
      <w:r>
        <w:t xml:space="preserve">Net End-of-Life Emissions = 0.225 - 2.22 =</w:t>
      </w:r>
      <w:r>
        <w:t xml:space="preserve"> </w:t>
      </w:r>
      <w:r>
        <w:rPr>
          <w:bCs/>
          <w:b/>
        </w:rPr>
        <w:t xml:space="preserve">-1.995 kg CO2e/unit</w:t>
      </w:r>
      <w:r>
        <w:t xml:space="preserve"> </w:t>
      </w:r>
      <w:r>
        <w:t xml:space="preserve">(net carbon credit)</w:t>
      </w:r>
    </w:p>
    <w:p>
      <w:r>
        <w:pict>
          <v:rect style="width:0;height:1.5pt" o:hralign="center" o:hrstd="t" o:hr="t"/>
        </w:pict>
      </w:r>
    </w:p>
    <w:bookmarkEnd w:id="41"/>
    <w:bookmarkEnd w:id="42"/>
    <w:bookmarkStart w:id="49" w:name="review-report"/>
    <w:p>
      <w:pPr>
        <w:pStyle w:val="Heading2"/>
      </w:pPr>
      <w:r>
        <w:t xml:space="preserve">5. Review &amp; Report</w:t>
      </w:r>
    </w:p>
    <w:p>
      <w:pPr>
        <w:pStyle w:val="FirstParagraph"/>
      </w:pPr>
      <w:r>
        <w:t xml:space="preserve">The total Product Carbon Footprint for pxygudqgfh is summarized below, along with a breakdown by GHG Protocol Scope and lifecycle stage.</w:t>
      </w:r>
    </w:p>
    <w:bookmarkStart w:id="43" w:name="total-product-carbon-footprint"/>
    <w:p>
      <w:pPr>
        <w:pStyle w:val="Heading3"/>
      </w:pPr>
      <w:r>
        <w:t xml:space="preserve">5.1 Total Product Carbon Footprint</w:t>
      </w:r>
    </w:p>
    <w:p>
      <w:pPr>
        <w:pStyle w:val="FirstParagraph"/>
      </w:pPr>
      <w:r>
        <w:t xml:space="preserve">The total carbon footprint for one functional unit of pxygudqgfh is:</w:t>
      </w:r>
    </w:p>
    <w:p>
      <w:pPr>
        <w:pStyle w:val="BodyText"/>
      </w:pPr>
      <w:r>
        <w:t xml:space="preserve">Total PCF (pxygudqgfh) = 29.43 kg CO2e/unit</w:t>
      </w:r>
    </w:p>
    <w:bookmarkEnd w:id="43"/>
    <w:bookmarkStart w:id="44" w:name="emissions-by-ghg-protocol-scope"/>
    <w:p>
      <w:pPr>
        <w:pStyle w:val="Heading3"/>
      </w:pPr>
      <w:r>
        <w:t xml:space="preserve">5.2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 (Direct Emissions)</w:t>
            </w:r>
          </w:p>
        </w:tc>
        <w:tc>
          <w:tcPr/>
          <w:p>
            <w:pPr>
              <w:pStyle w:val="Compact"/>
              <w:jc w:val="left"/>
            </w:pPr>
            <w:r>
              <w:t xml:space="preserve">0.1</w:t>
            </w:r>
          </w:p>
        </w:tc>
        <w:tc>
          <w:tcPr/>
          <w:p>
            <w:pPr>
              <w:pStyle w:val="Compact"/>
              <w:jc w:val="left"/>
            </w:pPr>
            <w:r>
              <w:t xml:space="preserve">0.34%</w:t>
            </w:r>
          </w:p>
        </w:tc>
      </w:tr>
      <w:tr>
        <w:tc>
          <w:tcPr/>
          <w:p>
            <w:pPr>
              <w:pStyle w:val="Compact"/>
              <w:jc w:val="left"/>
            </w:pPr>
            <w:r>
              <w:t xml:space="preserve">Scope 2 (Purchased Electricity)</w:t>
            </w:r>
          </w:p>
        </w:tc>
        <w:tc>
          <w:tcPr/>
          <w:p>
            <w:pPr>
              <w:pStyle w:val="Compact"/>
              <w:jc w:val="left"/>
            </w:pPr>
            <w:r>
              <w:t xml:space="preserve">4.8</w:t>
            </w:r>
          </w:p>
        </w:tc>
        <w:tc>
          <w:tcPr/>
          <w:p>
            <w:pPr>
              <w:pStyle w:val="Compact"/>
              <w:jc w:val="left"/>
            </w:pPr>
            <w:r>
              <w:t xml:space="preserve">16.38%</w:t>
            </w:r>
          </w:p>
        </w:tc>
      </w:tr>
      <w:tr>
        <w:tc>
          <w:tcPr/>
          <w:p>
            <w:pPr>
              <w:pStyle w:val="Compact"/>
              <w:jc w:val="left"/>
            </w:pPr>
            <w:r>
              <w:t xml:space="preserve">Scope 3 (Value Chain - Upstream &amp; Downstream)</w:t>
            </w:r>
          </w:p>
        </w:tc>
        <w:tc>
          <w:tcPr/>
          <w:p>
            <w:pPr>
              <w:pStyle w:val="Compact"/>
              <w:jc w:val="left"/>
            </w:pPr>
            <w:r>
              <w:t xml:space="preserve">24.53</w:t>
            </w:r>
          </w:p>
        </w:tc>
        <w:tc>
          <w:tcPr/>
          <w:p>
            <w:pPr>
              <w:pStyle w:val="Compact"/>
              <w:jc w:val="left"/>
            </w:pPr>
            <w:r>
              <w:t xml:space="preserve">83.28%</w:t>
            </w:r>
          </w:p>
        </w:tc>
      </w:tr>
      <w:tr>
        <w:tc>
          <w:tcPr/>
          <w:p>
            <w:pPr>
              <w:pStyle w:val="Compact"/>
              <w:jc w:val="left"/>
            </w:pPr>
            <w:r>
              <w:rPr>
                <w:bCs/>
                <w:b/>
              </w:rPr>
              <w:t xml:space="preserve">Total PCF</w:t>
            </w:r>
          </w:p>
        </w:tc>
        <w:tc>
          <w:tcPr/>
          <w:p>
            <w:pPr>
              <w:pStyle w:val="Compact"/>
              <w:jc w:val="left"/>
            </w:pPr>
            <w:r>
              <w:rPr>
                <w:bCs/>
                <w:b/>
              </w:rPr>
              <w:t xml:space="preserve">29.43</w:t>
            </w:r>
          </w:p>
        </w:tc>
        <w:tc>
          <w:tcPr/>
          <w:p>
            <w:pPr>
              <w:pStyle w:val="Compact"/>
              <w:jc w:val="left"/>
            </w:pPr>
            <w:r>
              <w:rPr>
                <w:bCs/>
                <w:b/>
              </w:rPr>
              <w:t xml:space="preserve">100%</w:t>
            </w:r>
          </w:p>
        </w:tc>
      </w:tr>
    </w:tbl>
    <w:bookmarkEnd w:id="44"/>
    <w:bookmarkStart w:id="45" w:name="Xad5bbb3b4539365c9a76a7e5a60c02e7d32ea9f"/>
    <w:p>
      <w:pPr>
        <w:pStyle w:val="Heading3"/>
      </w:pPr>
      <w:r>
        <w:t xml:space="preserve">5.3 Emissions by Lifecycle Stage (Excluding EoL Credits)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5.225</w:t>
            </w:r>
          </w:p>
        </w:tc>
        <w:tc>
          <w:tcPr/>
          <w:p>
            <w:pPr>
              <w:pStyle w:val="Compact"/>
              <w:jc w:val="left"/>
            </w:pPr>
            <w:r>
              <w:t xml:space="preserve">Scope 3 (Upstream)</w:t>
            </w:r>
          </w:p>
        </w:tc>
      </w:tr>
      <w:tr>
        <w:tc>
          <w:tcPr/>
          <w:p>
            <w:pPr>
              <w:pStyle w:val="Compact"/>
              <w:jc w:val="left"/>
            </w:pPr>
            <w:r>
              <w:t xml:space="preserve">Manufacturing (Scope 1)</w:t>
            </w:r>
          </w:p>
        </w:tc>
        <w:tc>
          <w:tcPr/>
          <w:p>
            <w:pPr>
              <w:pStyle w:val="Compact"/>
              <w:jc w:val="left"/>
            </w:pPr>
            <w:r>
              <w:t xml:space="preserve">0.1</w:t>
            </w:r>
          </w:p>
        </w:tc>
        <w:tc>
          <w:tcPr/>
          <w:p>
            <w:pPr>
              <w:pStyle w:val="Compact"/>
              <w:jc w:val="left"/>
            </w:pPr>
            <w:r>
              <w:t xml:space="preserve">Scope 1</w:t>
            </w:r>
          </w:p>
        </w:tc>
      </w:tr>
      <w:tr>
        <w:tc>
          <w:tcPr/>
          <w:p>
            <w:pPr>
              <w:pStyle w:val="Compact"/>
              <w:jc w:val="left"/>
            </w:pPr>
            <w:r>
              <w:t xml:space="preserve">Manufacturing (Scope 2)</w:t>
            </w:r>
          </w:p>
        </w:tc>
        <w:tc>
          <w:tcPr/>
          <w:p>
            <w:pPr>
              <w:pStyle w:val="Compact"/>
              <w:jc w:val="left"/>
            </w:pPr>
            <w:r>
              <w:t xml:space="preserve">4.8</w:t>
            </w:r>
          </w:p>
        </w:tc>
        <w:tc>
          <w:tcPr/>
          <w:p>
            <w:pPr>
              <w:pStyle w:val="Compact"/>
              <w:jc w:val="left"/>
            </w:pPr>
            <w:r>
              <w:t xml:space="preserve">Scope 2</w:t>
            </w:r>
          </w:p>
        </w:tc>
      </w:tr>
      <w:tr>
        <w:tc>
          <w:tcPr/>
          <w:p>
            <w:pPr>
              <w:pStyle w:val="Compact"/>
              <w:jc w:val="left"/>
            </w:pPr>
            <w:r>
              <w:t xml:space="preserve">Transport (Downstream)</w:t>
            </w:r>
          </w:p>
        </w:tc>
        <w:tc>
          <w:tcPr/>
          <w:p>
            <w:pPr>
              <w:pStyle w:val="Compact"/>
              <w:jc w:val="left"/>
            </w:pPr>
            <w:r>
              <w:t xml:space="preserve">0.3</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21.0</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-1.995</w:t>
            </w:r>
          </w:p>
        </w:tc>
        <w:tc>
          <w:tcPr/>
          <w:p>
            <w:pPr>
              <w:pStyle w:val="Compact"/>
              <w:jc w:val="left"/>
            </w:pPr>
            <w:r>
              <w:t xml:space="preserve">Scope 3 (Downstream)</w:t>
            </w:r>
          </w:p>
        </w:tc>
      </w:tr>
      <w:tr>
        <w:tc>
          <w:tcPr/>
          <w:p>
            <w:pPr>
              <w:pStyle w:val="Compact"/>
              <w:jc w:val="left"/>
            </w:pPr>
            <w:r>
              <w:rPr>
                <w:bCs/>
                <w:b/>
              </w:rPr>
              <w:t xml:space="preserve">Total PCF</w:t>
            </w:r>
          </w:p>
        </w:tc>
        <w:tc>
          <w:tcPr/>
          <w:p>
            <w:pPr>
              <w:pStyle w:val="Compact"/>
              <w:jc w:val="left"/>
            </w:pPr>
            <w:r>
              <w:rPr>
                <w:bCs/>
                <w:b/>
              </w:rPr>
              <w:t xml:space="preserve">29.43</w:t>
            </w:r>
          </w:p>
        </w:tc>
        <w:tc>
          <w:tcPr/>
          <w:p>
            <w:pPr>
              <w:pStyle w:val="Compact"/>
            </w:pPr>
          </w:p>
        </w:tc>
      </w:tr>
    </w:tbl>
    <w:bookmarkEnd w:id="45"/>
    <w:bookmarkStart w:id="46" w:name="hotspots-and-reliability"/>
    <w:p>
      <w:pPr>
        <w:pStyle w:val="Heading3"/>
      </w:pPr>
      <w:r>
        <w:t xml:space="preserve">5.4 Hotspots and Reliability</w:t>
      </w:r>
    </w:p>
    <w:p>
      <w:pPr>
        <w:pStyle w:val="FirstParagraph"/>
      </w:pPr>
      <w:r>
        <w:t xml:space="preserve">The analysis clearly identifies the</w:t>
      </w:r>
      <w:r>
        <w:t xml:space="preserve"> </w:t>
      </w:r>
      <w:r>
        <w:rPr>
          <w:bCs/>
          <w:b/>
        </w:rPr>
        <w:t xml:space="preserve">Use Phase (21.0 kg CO2e)</w:t>
      </w:r>
      <w:r>
        <w:t xml:space="preserve"> </w:t>
      </w:r>
      <w:r>
        <w:t xml:space="preserve">as the most significant hotspot, primarily due to the product\'s energy consumption over its 7-year lifespan. Materials acquisition and pre-processing (5.225 kg CO2e) and manufacturing electricity (4.8 kg CO2e) are also notable contributors.</w:t>
      </w:r>
    </w:p>
    <w:p>
      <w:pPr>
        <w:numPr>
          <w:ilvl w:val="0"/>
          <w:numId w:val="1012"/>
        </w:numPr>
        <w:pStyle w:val="Compact"/>
      </w:pPr>
      <w:r>
        <w:rPr>
          <w:bCs/>
          <w:b/>
        </w:rPr>
        <w:t xml:space="preserve">Use Phase Dominance:</w:t>
      </w:r>
      <w:r>
        <w:t xml:space="preserve"> </w:t>
      </w:r>
      <w:r>
        <w:t xml:space="preserve">The long product lifespan and continuous energy consumption make this stage critical for emission reduction efforts.</w:t>
      </w:r>
      <w:r>
        <w:br/>
      </w:r>
      <w:r>
        <w:rPr>
          <w:iCs/>
          <w:i/>
        </w:rPr>
        <w:t xml:space="preserve">Recommendations:</w:t>
      </w:r>
      <w:r>
        <w:t xml:space="preserve"> </w:t>
      </w:r>
      <w:r>
        <w:t xml:space="preserve">Focus on improving energy efficiency of the product during its operational life and promoting the use of renewable energy by end-users.</w:t>
      </w:r>
    </w:p>
    <w:p>
      <w:pPr>
        <w:numPr>
          <w:ilvl w:val="0"/>
          <w:numId w:val="1012"/>
        </w:numPr>
        <w:pStyle w:val="Compact"/>
      </w:pPr>
      <w:r>
        <w:rPr>
          <w:bCs/>
          <w:b/>
        </w:rPr>
        <w:t xml:space="preserve">Materials Impact:</w:t>
      </w:r>
      <w:r>
        <w:t xml:space="preserve"> </w:t>
      </w:r>
      <w:r>
        <w:t xml:space="preserve">The selected materials have a notable impact.</w:t>
      </w:r>
      <w:r>
        <w:br/>
      </w:r>
      <w:r>
        <w:rPr>
          <w:iCs/>
          <w:i/>
        </w:rPr>
        <w:t xml:space="preserve">Recommendations:</w:t>
      </w:r>
      <w:r>
        <w:t xml:space="preserve"> </w:t>
      </w:r>
      <w:r>
        <w:t xml:space="preserve">Explore opportunities for lighter-weight materials, recycled content integration, or materials with inherently lower embodied carbon footprints.</w:t>
      </w:r>
    </w:p>
    <w:p>
      <w:pPr>
        <w:numPr>
          <w:ilvl w:val="0"/>
          <w:numId w:val="1012"/>
        </w:numPr>
        <w:pStyle w:val="Compact"/>
      </w:pPr>
      <w:r>
        <w:rPr>
          <w:bCs/>
          <w:b/>
        </w:rPr>
        <w:t xml:space="preserve">Manufacturing Efficiency:</w:t>
      </w:r>
      <w:r>
        <w:t xml:space="preserve"> </w:t>
      </w:r>
      <w:r>
        <w:t xml:space="preserve">While 60% renewable energy is used, the remaining 40% contributes significantly to Scope 2.</w:t>
      </w:r>
      <w:r>
        <w:br/>
      </w:r>
      <w:r>
        <w:rPr>
          <w:iCs/>
          <w:i/>
        </w:rPr>
        <w:t xml:space="preserve">Recommendations:</w:t>
      </w:r>
      <w:r>
        <w:t xml:space="preserve"> </w:t>
      </w:r>
      <w:r>
        <w:t xml:space="preserve">Increase renewable energy procurement or on-site generation to further reduce Scope 2 emissions.</w:t>
      </w:r>
    </w:p>
    <w:p>
      <w:pPr>
        <w:numPr>
          <w:ilvl w:val="0"/>
          <w:numId w:val="1012"/>
        </w:numPr>
        <w:pStyle w:val="Compact"/>
      </w:pPr>
      <w:r>
        <w:rPr>
          <w:bCs/>
          <w:b/>
        </w:rPr>
        <w:t xml:space="preserve">End-of-Life Benefits:</w:t>
      </w:r>
      <w:r>
        <w:t xml:space="preserve"> </w:t>
      </w:r>
      <w:r>
        <w:t xml:space="preserve">The high recyclability (85%) and robust take-back program (30%) offer significant potential for carbon credits, making the EoL stage a net negative contributor to emissions, which is highly beneficial.</w:t>
      </w:r>
      <w:r>
        <w:br/>
      </w:r>
      <w:r>
        <w:rPr>
          <w:iCs/>
          <w:i/>
        </w:rPr>
        <w:t xml:space="preserve">Recommendations:</w:t>
      </w:r>
      <w:r>
        <w:t xml:space="preserve"> </w:t>
      </w:r>
      <w:r>
        <w:t xml:space="preserve">Continuously enhance and expand circularity initiatives.</w:t>
      </w:r>
    </w:p>
    <w:p>
      <w:pPr>
        <w:pStyle w:val="FirstParagraph"/>
      </w:pPr>
      <w:r>
        <w:t xml:space="preserve">The reliability of this report is high for the provided parameters. The use of pre-calculated \'Total Carbon\' for BOM items and explicit parameters for energy, transport, and EoL scenarios allows for direct calculation. Illustrative emission factors were used for generic processes in line with industry standards (Ecoinvent/DEFRA principles).</w:t>
      </w:r>
    </w:p>
    <w:bookmarkEnd w:id="46"/>
    <w:bookmarkStart w:id="48" w:name="X2b41d13dbd7c60ac5aab229b692537ba1a09012"/>
    <w:p>
      <w:pPr>
        <w:pStyle w:val="Heading3"/>
      </w:pPr>
      <w:r>
        <w:t xml:space="preserve">5.5 2026 LSR Standard Application and Scope 3 Compliance</w:t>
      </w:r>
    </w:p>
    <w:p>
      <w:pPr>
        <w:pStyle w:val="FirstParagraph"/>
      </w:pPr>
      <w:r>
        <w:t xml:space="preserve">In accordance with the</w:t>
      </w:r>
      <w:r>
        <w:t xml:space="preserve"> </w:t>
      </w:r>
      <w:r>
        <w:rPr>
          <w:bCs/>
          <w:b/>
        </w:rPr>
        <w:t xml:space="preserve">2026 Land Sector and Removals (LSR) Standard</w:t>
      </w:r>
      <w:r>
        <w:t xml:space="preserve">, land-use change emissions and carbon removals have been considered. For pxygudqgfh, in the absence of direct land-use change data specific to its raw material sourcing or manufacturing footprint, the LSR principles have been acknowledged and any potential impacts would be integrated if specific data became available. Material carbon footprints (e.g., from bio-based materials) inherently factor in some land-use impacts.</w:t>
      </w:r>
    </w:p>
    <w:p>
      <w:pPr>
        <w:pStyle w:val="BodyText"/>
      </w:pPr>
      <w:r>
        <w:rPr>
          <w:bCs/>
          <w:b/>
        </w:rPr>
        <w:t xml:space="preserve">Scope 3 compliance</w:t>
      </w:r>
      <w:r>
        <w:t xml:space="preserve"> </w:t>
      </w:r>
      <w:r>
        <w:t xml:space="preserve">aims for at least 95% coverage as per 2026 requirements. This analysis has striven for comprehensive coverage by including all significant upstream (materials) and downstream (transport, use, EoL) categories as defined by the provided parameters. The detailed BOM, specific logistics, and use phase parameters enabled a high level of Scope 3 coverage. While exact quantification of all minor Scope 3 categories can be challenging without exhaustive supply chain data, the methodology employed here ensures substantial coverage.</w:t>
      </w:r>
    </w:p>
    <w:p>
      <w:r>
        <w:pict>
          <v:rect style="width:0;height:1.5pt" o:hralign="center" o:hrstd="t" o:hr="t"/>
        </w:pict>
      </w:r>
    </w:p>
    <w:p>
      <w:pPr>
        <w:pStyle w:val="FirstParagraph"/>
      </w:pPr>
      <w:r>
        <w:t xml:space="preserve">Confidential - Internal Use Only | Page</w:t>
      </w:r>
      <w:r>
        <w:t xml:space="preserve"> </w:t>
      </w:r>
      <w:bookmarkStart w:id="47" w:name="page-number"/>
      <w:bookmarkEnd w:id="47"/>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pxygudqgfh</dc:title>
  <dc:creator/>
  <dc:description>Detailed Product Carbon Footprint (PCF) analysis report for pxygudqgfh, conducted by lutxiolput, Senior Sustainability Consultant for gforqdjkgr, adhering to GHG Protocol standards and 2026 LSR updates.</dc:description>
  <dc:language>en</dc:language>
  <cp:keywords/>
  <dcterms:created xsi:type="dcterms:W3CDTF">2026-07-15T06:14:16Z</dcterms:created>
  <dcterms:modified xsi:type="dcterms:W3CDTF">2026-07-15T06:14:16Z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